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B32F7E" w14:textId="2F57A0DD" w:rsidR="00907725" w:rsidRDefault="00907725" w:rsidP="00907725">
      <w:pPr>
        <w:autoSpaceDE w:val="0"/>
        <w:autoSpaceDN w:val="0"/>
        <w:adjustRightInd w:val="0"/>
        <w:spacing w:line="360" w:lineRule="auto"/>
        <w:jc w:val="right"/>
        <w:rPr>
          <w:rFonts w:ascii="Arial Narrow" w:eastAsia="Arial" w:hAnsi="Arial Narrow" w:cs="Arial"/>
          <w:b/>
          <w:color w:val="000000" w:themeColor="text1"/>
        </w:rPr>
      </w:pPr>
      <w:bookmarkStart w:id="0" w:name="_GoBack"/>
      <w:bookmarkEnd w:id="0"/>
      <w:r>
        <w:rPr>
          <w:rFonts w:ascii="Arial Narrow" w:eastAsia="Arial" w:hAnsi="Arial Narrow" w:cs="Arial"/>
          <w:b/>
          <w:color w:val="000000" w:themeColor="text1"/>
        </w:rPr>
        <w:t>Zał. nr 4 do SWZ</w:t>
      </w:r>
    </w:p>
    <w:p w14:paraId="5AF825F8" w14:textId="3E925427" w:rsidR="00586ED0" w:rsidRPr="00E9020C" w:rsidRDefault="00907725" w:rsidP="00E9020C">
      <w:pPr>
        <w:autoSpaceDE w:val="0"/>
        <w:autoSpaceDN w:val="0"/>
        <w:adjustRightInd w:val="0"/>
        <w:spacing w:line="360" w:lineRule="auto"/>
        <w:jc w:val="center"/>
        <w:rPr>
          <w:rFonts w:ascii="Arial Narrow" w:eastAsia="Arial" w:hAnsi="Arial Narrow" w:cs="Arial"/>
          <w:b/>
          <w:color w:val="000000" w:themeColor="text1"/>
        </w:rPr>
      </w:pPr>
      <w:r>
        <w:rPr>
          <w:rFonts w:ascii="Arial Narrow" w:eastAsia="Arial" w:hAnsi="Arial Narrow" w:cs="Arial"/>
          <w:b/>
          <w:color w:val="000000" w:themeColor="text1"/>
        </w:rPr>
        <w:t xml:space="preserve">SZCZEGÓŁOWY </w:t>
      </w:r>
      <w:r w:rsidR="00E9020C" w:rsidRPr="00E9020C">
        <w:rPr>
          <w:rFonts w:ascii="Arial Narrow" w:eastAsia="Arial" w:hAnsi="Arial Narrow" w:cs="Arial"/>
          <w:b/>
          <w:color w:val="000000" w:themeColor="text1"/>
        </w:rPr>
        <w:t>OPIS PRZEDMIOTU ZAMÓWIENIA</w:t>
      </w:r>
    </w:p>
    <w:p w14:paraId="71AF3472" w14:textId="77777777" w:rsidR="00E9020C" w:rsidRDefault="00E9020C" w:rsidP="00E9020C">
      <w:pPr>
        <w:autoSpaceDE w:val="0"/>
        <w:autoSpaceDN w:val="0"/>
        <w:adjustRightInd w:val="0"/>
        <w:spacing w:line="360" w:lineRule="auto"/>
        <w:jc w:val="center"/>
        <w:rPr>
          <w:rFonts w:ascii="Arial Narrow" w:eastAsia="Arial" w:hAnsi="Arial Narrow" w:cs="Arial"/>
          <w:color w:val="000000" w:themeColor="text1"/>
        </w:rPr>
      </w:pPr>
      <w:r>
        <w:rPr>
          <w:rFonts w:ascii="Arial Narrow" w:eastAsia="Arial" w:hAnsi="Arial Narrow" w:cs="Arial"/>
          <w:color w:val="000000" w:themeColor="text1"/>
        </w:rPr>
        <w:t>n</w:t>
      </w:r>
      <w:r w:rsidRPr="00E9020C">
        <w:rPr>
          <w:rFonts w:ascii="Arial Narrow" w:eastAsia="Arial" w:hAnsi="Arial Narrow" w:cs="Arial"/>
          <w:color w:val="000000" w:themeColor="text1"/>
        </w:rPr>
        <w:t>a zadanie:</w:t>
      </w:r>
    </w:p>
    <w:p w14:paraId="7CD58976" w14:textId="697BF45F" w:rsidR="00586ED0" w:rsidRPr="00E9020C" w:rsidRDefault="00586ED0" w:rsidP="00E9020C">
      <w:pPr>
        <w:autoSpaceDE w:val="0"/>
        <w:autoSpaceDN w:val="0"/>
        <w:adjustRightInd w:val="0"/>
        <w:spacing w:line="360" w:lineRule="auto"/>
        <w:jc w:val="center"/>
        <w:rPr>
          <w:rFonts w:ascii="Arial Narrow" w:eastAsia="Arial" w:hAnsi="Arial Narrow" w:cs="Arial"/>
          <w:color w:val="000000" w:themeColor="text1"/>
        </w:rPr>
      </w:pPr>
      <w:r w:rsidRPr="00E9020C">
        <w:rPr>
          <w:rFonts w:ascii="Arial Narrow" w:eastAsia="Arial" w:hAnsi="Arial Narrow" w:cs="Arial"/>
          <w:b/>
          <w:color w:val="000000" w:themeColor="text1"/>
        </w:rPr>
        <w:t>„Kompleksowa dostawa energii elektrycznej (wraz z usługą dystrybucji) do Włocławskiego Inkubatora Innowacji i Przedsiębiorczości”</w:t>
      </w:r>
      <w:r w:rsidRPr="00E9020C">
        <w:rPr>
          <w:rFonts w:ascii="Arial Narrow" w:eastAsia="Arial" w:hAnsi="Arial Narrow" w:cs="Arial"/>
          <w:color w:val="000000" w:themeColor="text1"/>
        </w:rPr>
        <w:t>.</w:t>
      </w:r>
    </w:p>
    <w:p w14:paraId="392AF42A" w14:textId="77777777" w:rsidR="0046156B" w:rsidRDefault="0046156B" w:rsidP="0046156B">
      <w:pPr>
        <w:spacing w:after="120" w:line="250" w:lineRule="auto"/>
        <w:ind w:left="-11" w:right="40"/>
        <w:jc w:val="both"/>
        <w:rPr>
          <w:rFonts w:ascii="Arial Narrow" w:hAnsi="Arial Narrow"/>
          <w:b/>
          <w:color w:val="000000" w:themeColor="text1"/>
        </w:rPr>
      </w:pPr>
      <w:r w:rsidRPr="00E9020C">
        <w:rPr>
          <w:rFonts w:ascii="Arial Narrow" w:hAnsi="Arial Narrow"/>
          <w:b/>
          <w:color w:val="000000" w:themeColor="text1"/>
        </w:rPr>
        <w:t>SŁOWNICZEK:</w:t>
      </w:r>
    </w:p>
    <w:p w14:paraId="3FE5BF35" w14:textId="79CA9645" w:rsidR="0046156B" w:rsidRPr="0046156B" w:rsidRDefault="0046156B" w:rsidP="0046156B">
      <w:pPr>
        <w:spacing w:after="120" w:line="360" w:lineRule="auto"/>
        <w:ind w:left="-11" w:right="40"/>
        <w:jc w:val="both"/>
        <w:rPr>
          <w:rFonts w:ascii="Arial Narrow" w:hAnsi="Arial Narrow"/>
          <w:b/>
          <w:color w:val="000000" w:themeColor="text1"/>
          <w:u w:val="single"/>
        </w:rPr>
      </w:pPr>
      <w:r w:rsidRPr="0046156B">
        <w:rPr>
          <w:rFonts w:ascii="Arial Narrow" w:hAnsi="Arial Narrow"/>
          <w:b/>
          <w:color w:val="000000" w:themeColor="text1"/>
          <w:u w:val="single"/>
        </w:rPr>
        <w:t xml:space="preserve">Ilekroć w Opisie przedmiotu zamówienia </w:t>
      </w:r>
      <w:r>
        <w:rPr>
          <w:rFonts w:ascii="Arial Narrow" w:hAnsi="Arial Narrow"/>
          <w:b/>
          <w:color w:val="000000" w:themeColor="text1"/>
          <w:u w:val="single"/>
        </w:rPr>
        <w:t>lub P</w:t>
      </w:r>
      <w:r w:rsidRPr="0046156B">
        <w:rPr>
          <w:rFonts w:ascii="Arial Narrow" w:hAnsi="Arial Narrow"/>
          <w:b/>
          <w:color w:val="000000" w:themeColor="text1"/>
          <w:u w:val="single"/>
        </w:rPr>
        <w:t>rojektowanych postanowieniach umowy użyte są poniższe określenia , należy je rozumieć następująco:</w:t>
      </w:r>
    </w:p>
    <w:p w14:paraId="6BE526D3" w14:textId="77777777" w:rsidR="0046156B" w:rsidRPr="00E9020C" w:rsidRDefault="0046156B" w:rsidP="0046156B">
      <w:pPr>
        <w:numPr>
          <w:ilvl w:val="0"/>
          <w:numId w:val="3"/>
        </w:numPr>
        <w:spacing w:after="120" w:line="240" w:lineRule="auto"/>
        <w:ind w:leftChars="-1" w:left="283" w:hangingChars="129" w:hanging="285"/>
        <w:jc w:val="both"/>
        <w:rPr>
          <w:rFonts w:ascii="Arial Narrow" w:hAnsi="Arial Narrow"/>
        </w:rPr>
      </w:pPr>
      <w:r w:rsidRPr="00E9020C">
        <w:rPr>
          <w:rFonts w:ascii="Arial Narrow" w:hAnsi="Arial Narrow"/>
          <w:b/>
          <w:bCs/>
        </w:rPr>
        <w:t>Dystrybucja energii elektrycznej</w:t>
      </w:r>
      <w:r w:rsidRPr="00E9020C">
        <w:rPr>
          <w:rFonts w:ascii="Arial Narrow" w:hAnsi="Arial Narrow"/>
        </w:rPr>
        <w:t xml:space="preserve"> – transport energii elektrycznej siecią dystrybucyjną OSD w celu jej dostarczania odbiorcom, z wyłączeniem sprzedaży tej energii,</w:t>
      </w:r>
    </w:p>
    <w:p w14:paraId="510F4CEF" w14:textId="040C9A7A" w:rsidR="0046156B" w:rsidRPr="00E9020C" w:rsidRDefault="0046156B" w:rsidP="0046156B">
      <w:pPr>
        <w:numPr>
          <w:ilvl w:val="0"/>
          <w:numId w:val="3"/>
        </w:numPr>
        <w:spacing w:after="120" w:line="240" w:lineRule="auto"/>
        <w:ind w:leftChars="-1" w:left="283" w:hangingChars="129" w:hanging="285"/>
        <w:jc w:val="both"/>
        <w:rPr>
          <w:rFonts w:ascii="Arial Narrow" w:hAnsi="Arial Narrow"/>
        </w:rPr>
      </w:pPr>
      <w:r w:rsidRPr="00E9020C">
        <w:rPr>
          <w:rFonts w:ascii="Arial Narrow" w:hAnsi="Arial Narrow"/>
          <w:b/>
          <w:bCs/>
        </w:rPr>
        <w:t>Generalna umowa dystrybucyjna</w:t>
      </w:r>
      <w:r w:rsidRPr="00E9020C">
        <w:rPr>
          <w:rFonts w:ascii="Arial Narrow" w:hAnsi="Arial Narrow"/>
        </w:rPr>
        <w:t xml:space="preserve"> – umowa zawarta pomiędzy Wykonawcą a OSD określająca ich wzajemne prawa i obowiązki związane ze świadczeniem usługi dystrybucyjnej w celu realizacji Umowy,</w:t>
      </w:r>
    </w:p>
    <w:p w14:paraId="53075666" w14:textId="77777777" w:rsidR="0046156B" w:rsidRPr="00E9020C" w:rsidRDefault="0046156B" w:rsidP="0046156B">
      <w:pPr>
        <w:numPr>
          <w:ilvl w:val="0"/>
          <w:numId w:val="3"/>
        </w:numPr>
        <w:spacing w:after="120" w:line="240" w:lineRule="auto"/>
        <w:ind w:leftChars="-1" w:left="283" w:hangingChars="129" w:hanging="285"/>
        <w:jc w:val="both"/>
        <w:rPr>
          <w:rFonts w:ascii="Arial Narrow" w:hAnsi="Arial Narrow"/>
        </w:rPr>
      </w:pPr>
      <w:proofErr w:type="spellStart"/>
      <w:r w:rsidRPr="00E9020C">
        <w:rPr>
          <w:rFonts w:ascii="Arial Narrow" w:hAnsi="Arial Narrow"/>
          <w:b/>
          <w:bCs/>
        </w:rPr>
        <w:t>IRiESD</w:t>
      </w:r>
      <w:proofErr w:type="spellEnd"/>
      <w:r w:rsidRPr="00E9020C">
        <w:rPr>
          <w:rFonts w:ascii="Arial Narrow" w:hAnsi="Arial Narrow"/>
        </w:rPr>
        <w:t xml:space="preserve"> – Instrukcja Ruchu i Eksploatacji Sieci Dystrybucyjnej OSD,</w:t>
      </w:r>
    </w:p>
    <w:p w14:paraId="5B8A5E45" w14:textId="77777777" w:rsidR="0046156B" w:rsidRPr="00E9020C" w:rsidRDefault="0046156B" w:rsidP="0046156B">
      <w:pPr>
        <w:numPr>
          <w:ilvl w:val="0"/>
          <w:numId w:val="3"/>
        </w:numPr>
        <w:spacing w:after="120" w:line="240" w:lineRule="auto"/>
        <w:ind w:leftChars="-1" w:left="283" w:hangingChars="129" w:hanging="285"/>
        <w:jc w:val="both"/>
        <w:rPr>
          <w:rFonts w:ascii="Arial Narrow" w:hAnsi="Arial Narrow"/>
        </w:rPr>
      </w:pPr>
      <w:proofErr w:type="spellStart"/>
      <w:r w:rsidRPr="00E9020C">
        <w:rPr>
          <w:rFonts w:ascii="Arial Narrow" w:hAnsi="Arial Narrow"/>
          <w:b/>
          <w:bCs/>
        </w:rPr>
        <w:t>Mikroinstalacja</w:t>
      </w:r>
      <w:proofErr w:type="spellEnd"/>
      <w:r w:rsidRPr="00E9020C">
        <w:rPr>
          <w:rFonts w:ascii="Arial Narrow" w:hAnsi="Arial Narrow"/>
        </w:rPr>
        <w:t xml:space="preserve"> – instalacja odnawialnego źródła energii o łącznej mocy zainstalowanej elektrycznej nie większej niż 50 kW, przyłączona do sieci elektroenergetycznej o napięciu znamionowym niższym niż 110 </w:t>
      </w:r>
      <w:proofErr w:type="spellStart"/>
      <w:r w:rsidRPr="00E9020C">
        <w:rPr>
          <w:rFonts w:ascii="Arial Narrow" w:hAnsi="Arial Narrow"/>
        </w:rPr>
        <w:t>kV</w:t>
      </w:r>
      <w:proofErr w:type="spellEnd"/>
      <w:r w:rsidRPr="00E9020C">
        <w:rPr>
          <w:rFonts w:ascii="Arial Narrow" w:hAnsi="Arial Narrow"/>
        </w:rPr>
        <w:t xml:space="preserve"> albo o mocy osiągalnej cieplnej w skojarzeniu nie większej niż 150 kW, w której łączna moc zainstalowana elektryczna jest nie większa niż 50 kW,</w:t>
      </w:r>
    </w:p>
    <w:p w14:paraId="664F6763" w14:textId="77777777" w:rsidR="0046156B" w:rsidRPr="00E9020C" w:rsidRDefault="0046156B" w:rsidP="0046156B">
      <w:pPr>
        <w:numPr>
          <w:ilvl w:val="0"/>
          <w:numId w:val="3"/>
        </w:numPr>
        <w:spacing w:after="120" w:line="240" w:lineRule="auto"/>
        <w:ind w:leftChars="-1" w:left="283" w:hangingChars="129" w:hanging="285"/>
        <w:jc w:val="both"/>
        <w:rPr>
          <w:rFonts w:ascii="Arial Narrow" w:hAnsi="Arial Narrow"/>
        </w:rPr>
      </w:pPr>
      <w:r w:rsidRPr="00E9020C">
        <w:rPr>
          <w:rFonts w:ascii="Arial Narrow" w:hAnsi="Arial Narrow"/>
          <w:b/>
          <w:bCs/>
        </w:rPr>
        <w:t>Nabywca</w:t>
      </w:r>
      <w:r w:rsidRPr="00E9020C">
        <w:rPr>
          <w:rFonts w:ascii="Arial Narrow" w:hAnsi="Arial Narrow"/>
        </w:rPr>
        <w:t xml:space="preserve"> – jednostka wskazana na fakturze za sprzedaż energii elektrycznej,</w:t>
      </w:r>
    </w:p>
    <w:p w14:paraId="0F3E3781" w14:textId="77777777" w:rsidR="0046156B" w:rsidRPr="00E9020C" w:rsidRDefault="0046156B" w:rsidP="0046156B">
      <w:pPr>
        <w:numPr>
          <w:ilvl w:val="0"/>
          <w:numId w:val="3"/>
        </w:numPr>
        <w:spacing w:after="120" w:line="240" w:lineRule="auto"/>
        <w:ind w:leftChars="-1" w:left="283" w:hangingChars="129" w:hanging="285"/>
        <w:jc w:val="both"/>
        <w:rPr>
          <w:rFonts w:ascii="Arial Narrow" w:hAnsi="Arial Narrow"/>
        </w:rPr>
      </w:pPr>
      <w:r w:rsidRPr="00E9020C">
        <w:rPr>
          <w:rFonts w:ascii="Arial Narrow" w:hAnsi="Arial Narrow"/>
          <w:b/>
          <w:bCs/>
        </w:rPr>
        <w:t>Net-</w:t>
      </w:r>
      <w:proofErr w:type="spellStart"/>
      <w:r w:rsidRPr="00E9020C">
        <w:rPr>
          <w:rFonts w:ascii="Arial Narrow" w:hAnsi="Arial Narrow"/>
          <w:b/>
          <w:bCs/>
        </w:rPr>
        <w:t>metering</w:t>
      </w:r>
      <w:proofErr w:type="spellEnd"/>
      <w:r w:rsidRPr="00E9020C">
        <w:rPr>
          <w:rFonts w:ascii="Arial Narrow" w:hAnsi="Arial Narrow"/>
        </w:rPr>
        <w:t xml:space="preserve"> – system opustowy – system rozliczeń prosumentów, polegający na bezgotówkowym rozliczeniu ilości energii elektrycznej wprowadzonej do sieci dystrybucyjnej elektroenergetycznej wobec ilości energii elektrycznej pobranej z tej sieci w celu jej zużycia na potrzeby własne przez prosumenta energii odnawialnej wytwarzającego energię elektryczną w </w:t>
      </w:r>
      <w:proofErr w:type="spellStart"/>
      <w:r w:rsidRPr="00E9020C">
        <w:rPr>
          <w:rFonts w:ascii="Arial Narrow" w:hAnsi="Arial Narrow"/>
        </w:rPr>
        <w:t>mikroinstalacji</w:t>
      </w:r>
      <w:proofErr w:type="spellEnd"/>
      <w:r w:rsidRPr="00E9020C">
        <w:rPr>
          <w:rFonts w:ascii="Arial Narrow" w:hAnsi="Arial Narrow"/>
        </w:rPr>
        <w:t xml:space="preserve"> o łącznej mocy zainstalowanej elektrycznej:</w:t>
      </w:r>
    </w:p>
    <w:p w14:paraId="60E410F9" w14:textId="77777777" w:rsidR="0046156B" w:rsidRPr="00E9020C" w:rsidRDefault="0046156B" w:rsidP="0046156B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Arial Narrow" w:hAnsi="Arial Narrow"/>
        </w:rPr>
      </w:pPr>
      <w:r w:rsidRPr="00E9020C">
        <w:rPr>
          <w:rFonts w:ascii="Arial Narrow" w:hAnsi="Arial Narrow"/>
        </w:rPr>
        <w:t>większej niż 10 kW – w stosunku ilościowym 1 do 0,7,</w:t>
      </w:r>
    </w:p>
    <w:p w14:paraId="286C1ABE" w14:textId="77777777" w:rsidR="0046156B" w:rsidRPr="00E9020C" w:rsidRDefault="0046156B" w:rsidP="0046156B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Arial Narrow" w:hAnsi="Arial Narrow"/>
        </w:rPr>
      </w:pPr>
      <w:r w:rsidRPr="00E9020C">
        <w:rPr>
          <w:rFonts w:ascii="Arial Narrow" w:hAnsi="Arial Narrow"/>
        </w:rPr>
        <w:t>nie większej niż 10 kW – w stosunku ilościowym 1 do 0,8;</w:t>
      </w:r>
    </w:p>
    <w:p w14:paraId="564AAF48" w14:textId="77777777" w:rsidR="0046156B" w:rsidRPr="00E9020C" w:rsidRDefault="0046156B" w:rsidP="0046156B">
      <w:pPr>
        <w:numPr>
          <w:ilvl w:val="0"/>
          <w:numId w:val="3"/>
        </w:numPr>
        <w:spacing w:after="120" w:line="240" w:lineRule="auto"/>
        <w:ind w:leftChars="-1" w:left="283" w:hangingChars="129" w:hanging="285"/>
        <w:jc w:val="both"/>
        <w:rPr>
          <w:rFonts w:ascii="Arial Narrow" w:hAnsi="Arial Narrow"/>
        </w:rPr>
      </w:pPr>
      <w:r w:rsidRPr="00E9020C">
        <w:rPr>
          <w:rFonts w:ascii="Arial Narrow" w:hAnsi="Arial Narrow"/>
          <w:b/>
          <w:bCs/>
        </w:rPr>
        <w:t>Obiekt</w:t>
      </w:r>
      <w:r w:rsidRPr="00E9020C">
        <w:rPr>
          <w:rFonts w:ascii="Arial Narrow" w:hAnsi="Arial Narrow"/>
        </w:rPr>
        <w:t xml:space="preserve"> – miejsce dostarczania energii elektrycznej,</w:t>
      </w:r>
    </w:p>
    <w:p w14:paraId="0A334935" w14:textId="77777777" w:rsidR="0046156B" w:rsidRPr="00E9020C" w:rsidRDefault="0046156B" w:rsidP="0046156B">
      <w:pPr>
        <w:numPr>
          <w:ilvl w:val="0"/>
          <w:numId w:val="3"/>
        </w:numPr>
        <w:spacing w:after="120" w:line="240" w:lineRule="auto"/>
        <w:ind w:leftChars="-1" w:left="283" w:hangingChars="129" w:hanging="285"/>
        <w:jc w:val="both"/>
        <w:rPr>
          <w:rFonts w:ascii="Arial Narrow" w:hAnsi="Arial Narrow"/>
        </w:rPr>
      </w:pPr>
      <w:r w:rsidRPr="00E9020C">
        <w:rPr>
          <w:rFonts w:ascii="Arial Narrow" w:hAnsi="Arial Narrow"/>
          <w:b/>
          <w:bCs/>
        </w:rPr>
        <w:t>Odbiorca</w:t>
      </w:r>
      <w:r w:rsidRPr="00E9020C">
        <w:rPr>
          <w:rFonts w:ascii="Arial Narrow" w:hAnsi="Arial Narrow"/>
        </w:rPr>
        <w:t xml:space="preserve"> – odbiorca energii elektrycznej w rozumieniu ustawy prawo energetyczne,</w:t>
      </w:r>
    </w:p>
    <w:p w14:paraId="6C8C26E1" w14:textId="77777777" w:rsidR="0046156B" w:rsidRPr="00E9020C" w:rsidRDefault="0046156B" w:rsidP="0046156B">
      <w:pPr>
        <w:numPr>
          <w:ilvl w:val="0"/>
          <w:numId w:val="3"/>
        </w:numPr>
        <w:spacing w:after="120" w:line="240" w:lineRule="auto"/>
        <w:ind w:leftChars="-1" w:left="283" w:hangingChars="129" w:hanging="285"/>
        <w:jc w:val="both"/>
        <w:rPr>
          <w:rFonts w:ascii="Arial Narrow" w:hAnsi="Arial Narrow"/>
        </w:rPr>
      </w:pPr>
      <w:r w:rsidRPr="00E9020C">
        <w:rPr>
          <w:rFonts w:ascii="Arial Narrow" w:hAnsi="Arial Narrow"/>
          <w:b/>
          <w:bCs/>
        </w:rPr>
        <w:t>Odbiorca faktury</w:t>
      </w:r>
      <w:r w:rsidRPr="00E9020C">
        <w:rPr>
          <w:rFonts w:ascii="Arial Narrow" w:hAnsi="Arial Narrow"/>
        </w:rPr>
        <w:t xml:space="preserve"> – wskazana jednostka, na adres której należy przekazać fakturę za energię elektryczną,</w:t>
      </w:r>
    </w:p>
    <w:p w14:paraId="57BC8185" w14:textId="713F9187" w:rsidR="0046156B" w:rsidRPr="00E9020C" w:rsidRDefault="0046156B" w:rsidP="0046156B">
      <w:pPr>
        <w:numPr>
          <w:ilvl w:val="0"/>
          <w:numId w:val="3"/>
        </w:numPr>
        <w:spacing w:after="120" w:line="240" w:lineRule="auto"/>
        <w:ind w:leftChars="-1" w:left="283" w:hangingChars="129" w:hanging="285"/>
        <w:jc w:val="both"/>
        <w:rPr>
          <w:rFonts w:ascii="Arial Narrow" w:hAnsi="Arial Narrow"/>
        </w:rPr>
      </w:pPr>
      <w:r w:rsidRPr="00E9020C">
        <w:rPr>
          <w:rFonts w:ascii="Arial Narrow" w:hAnsi="Arial Narrow"/>
          <w:b/>
          <w:bCs/>
        </w:rPr>
        <w:t>Oferta</w:t>
      </w:r>
      <w:r w:rsidRPr="00E9020C">
        <w:rPr>
          <w:rFonts w:ascii="Arial Narrow" w:hAnsi="Arial Narrow"/>
        </w:rPr>
        <w:t xml:space="preserve"> – Oferta wykonawcy złożona w postępowaniu o udzielenie zamówienia publicznego na kompleksową dostawę energii elektrycznej, </w:t>
      </w:r>
    </w:p>
    <w:p w14:paraId="75C1A7DA" w14:textId="77777777" w:rsidR="0046156B" w:rsidRPr="00E9020C" w:rsidRDefault="0046156B" w:rsidP="0046156B">
      <w:pPr>
        <w:numPr>
          <w:ilvl w:val="0"/>
          <w:numId w:val="3"/>
        </w:numPr>
        <w:spacing w:after="120" w:line="240" w:lineRule="auto"/>
        <w:ind w:leftChars="-1" w:left="283" w:hangingChars="129" w:hanging="285"/>
        <w:jc w:val="both"/>
        <w:rPr>
          <w:rFonts w:ascii="Arial Narrow" w:hAnsi="Arial Narrow"/>
        </w:rPr>
      </w:pPr>
      <w:r w:rsidRPr="00E9020C">
        <w:rPr>
          <w:rFonts w:ascii="Arial Narrow" w:hAnsi="Arial Narrow"/>
          <w:b/>
          <w:bCs/>
        </w:rPr>
        <w:t>Okres rozliczeniowy</w:t>
      </w:r>
      <w:r w:rsidRPr="00E9020C">
        <w:rPr>
          <w:rFonts w:ascii="Arial Narrow" w:hAnsi="Arial Narrow"/>
        </w:rPr>
        <w:t xml:space="preserve"> – okres pomiędzy dwoma kolejnymi rozliczeniowymi odczytami urządzeń do pomiaru energii elektrycznej,</w:t>
      </w:r>
    </w:p>
    <w:p w14:paraId="21513C8D" w14:textId="77777777" w:rsidR="0046156B" w:rsidRPr="00E9020C" w:rsidRDefault="0046156B" w:rsidP="0046156B">
      <w:pPr>
        <w:numPr>
          <w:ilvl w:val="0"/>
          <w:numId w:val="3"/>
        </w:numPr>
        <w:spacing w:after="120" w:line="240" w:lineRule="auto"/>
        <w:ind w:leftChars="-1" w:left="283" w:hangingChars="129" w:hanging="285"/>
        <w:jc w:val="both"/>
        <w:rPr>
          <w:rFonts w:ascii="Arial Narrow" w:hAnsi="Arial Narrow"/>
        </w:rPr>
      </w:pPr>
      <w:r w:rsidRPr="00E9020C">
        <w:rPr>
          <w:rFonts w:ascii="Arial Narrow" w:hAnsi="Arial Narrow"/>
          <w:b/>
          <w:bCs/>
        </w:rPr>
        <w:t>OSD</w:t>
      </w:r>
      <w:r w:rsidRPr="00E9020C">
        <w:rPr>
          <w:rFonts w:ascii="Arial Narrow" w:hAnsi="Arial Narrow"/>
        </w:rPr>
        <w:t xml:space="preserve"> – Operator Systemu Dystrybucyjnego - przedsiębiorstwo energetyczne zajmujące się świadczeniem usług dystrybucyjnych,</w:t>
      </w:r>
    </w:p>
    <w:p w14:paraId="448CA57E" w14:textId="77777777" w:rsidR="0046156B" w:rsidRPr="00E9020C" w:rsidRDefault="0046156B" w:rsidP="0046156B">
      <w:pPr>
        <w:numPr>
          <w:ilvl w:val="0"/>
          <w:numId w:val="3"/>
        </w:numPr>
        <w:spacing w:after="120" w:line="240" w:lineRule="auto"/>
        <w:ind w:leftChars="-1" w:left="283" w:hangingChars="129" w:hanging="285"/>
        <w:jc w:val="both"/>
        <w:rPr>
          <w:rFonts w:ascii="Arial Narrow" w:hAnsi="Arial Narrow"/>
        </w:rPr>
      </w:pPr>
      <w:r w:rsidRPr="00E9020C">
        <w:rPr>
          <w:rFonts w:ascii="Arial Narrow" w:hAnsi="Arial Narrow"/>
          <w:b/>
          <w:bCs/>
        </w:rPr>
        <w:t>Prosument</w:t>
      </w:r>
      <w:r w:rsidRPr="00E9020C">
        <w:rPr>
          <w:rFonts w:ascii="Arial Narrow" w:hAnsi="Arial Narrow"/>
        </w:rPr>
        <w:t xml:space="preserve"> – prosument energii odnawialnej – odbiorca końcowy wytwarzający energię elektryczną wyłącznie z odnawialnych źródeł energii na własne potrzeby w </w:t>
      </w:r>
      <w:proofErr w:type="spellStart"/>
      <w:r w:rsidRPr="00E9020C">
        <w:rPr>
          <w:rFonts w:ascii="Arial Narrow" w:hAnsi="Arial Narrow"/>
        </w:rPr>
        <w:t>Mikroinstalacji</w:t>
      </w:r>
      <w:proofErr w:type="spellEnd"/>
      <w:r w:rsidRPr="00E9020C">
        <w:rPr>
          <w:rFonts w:ascii="Arial Narrow" w:hAnsi="Arial Narrow"/>
        </w:rPr>
        <w:t>, pod warunkiem że w przypadku odbiorcy końcowego niebędącego odbiorcą energii elektrycznej w gospodarstwie domowym, nie stanowi to przedmiotu przeważającej działalności gospodarczej określonej zgodnie z przepisami wydanymi na podstawie art. 40 ust. 2 ustawy z dnia 29 czerwca 1995r. o statystyce publicznej,</w:t>
      </w:r>
    </w:p>
    <w:p w14:paraId="62B5BC6C" w14:textId="77777777" w:rsidR="0046156B" w:rsidRPr="00E9020C" w:rsidRDefault="0046156B" w:rsidP="0046156B">
      <w:pPr>
        <w:numPr>
          <w:ilvl w:val="0"/>
          <w:numId w:val="3"/>
        </w:numPr>
        <w:spacing w:after="120" w:line="240" w:lineRule="auto"/>
        <w:ind w:leftChars="-1" w:left="283" w:hangingChars="129" w:hanging="285"/>
        <w:jc w:val="both"/>
        <w:rPr>
          <w:rFonts w:ascii="Arial Narrow" w:hAnsi="Arial Narrow"/>
        </w:rPr>
      </w:pPr>
      <w:r w:rsidRPr="00E9020C">
        <w:rPr>
          <w:rFonts w:ascii="Arial Narrow" w:hAnsi="Arial Narrow"/>
          <w:b/>
          <w:bCs/>
        </w:rPr>
        <w:lastRenderedPageBreak/>
        <w:t>Punkt poboru (PPE)</w:t>
      </w:r>
      <w:r w:rsidRPr="00E9020C">
        <w:rPr>
          <w:rFonts w:ascii="Arial Narrow" w:hAnsi="Arial Narrow"/>
        </w:rPr>
        <w:t xml:space="preserve"> – miejsce dostarczania energii elektrycznej,</w:t>
      </w:r>
    </w:p>
    <w:p w14:paraId="710A596B" w14:textId="77777777" w:rsidR="0046156B" w:rsidRPr="00E9020C" w:rsidRDefault="0046156B" w:rsidP="0046156B">
      <w:pPr>
        <w:numPr>
          <w:ilvl w:val="0"/>
          <w:numId w:val="3"/>
        </w:numPr>
        <w:spacing w:after="120" w:line="240" w:lineRule="auto"/>
        <w:ind w:leftChars="-1" w:left="283" w:hangingChars="129" w:hanging="285"/>
        <w:jc w:val="both"/>
        <w:rPr>
          <w:rFonts w:ascii="Arial Narrow" w:hAnsi="Arial Narrow"/>
        </w:rPr>
      </w:pPr>
      <w:r w:rsidRPr="00E9020C">
        <w:rPr>
          <w:rFonts w:ascii="Arial Narrow" w:hAnsi="Arial Narrow"/>
          <w:b/>
          <w:bCs/>
        </w:rPr>
        <w:t>RODO</w:t>
      </w:r>
      <w:r w:rsidRPr="00E9020C">
        <w:rPr>
          <w:rFonts w:ascii="Arial Narrow" w:hAnsi="Arial Narrow"/>
        </w:rPr>
        <w:t xml:space="preserve"> – Rozporządzenie Parlamentu Europejskiego i Rady (UE) 2016/679 z dnia 27 kwietnia 2016 roku w sprawie ochrony osób fizycznych w związku z przetwarzaniem danych osobowych i w sprawie swobodnego przepływu takich danych oraz uchylenia dyrektywy 95/46/WE,</w:t>
      </w:r>
    </w:p>
    <w:p w14:paraId="35154413" w14:textId="77777777" w:rsidR="0046156B" w:rsidRDefault="0046156B" w:rsidP="0046156B">
      <w:pPr>
        <w:numPr>
          <w:ilvl w:val="0"/>
          <w:numId w:val="3"/>
        </w:numPr>
        <w:spacing w:after="120" w:line="240" w:lineRule="auto"/>
        <w:ind w:leftChars="-1" w:left="283" w:hangingChars="129" w:hanging="285"/>
        <w:jc w:val="both"/>
        <w:rPr>
          <w:rFonts w:ascii="Arial Narrow" w:hAnsi="Arial Narrow"/>
        </w:rPr>
      </w:pPr>
      <w:r w:rsidRPr="00E9020C">
        <w:rPr>
          <w:rFonts w:ascii="Arial Narrow" w:hAnsi="Arial Narrow"/>
          <w:b/>
          <w:bCs/>
        </w:rPr>
        <w:t xml:space="preserve">Taryfa OSD </w:t>
      </w:r>
      <w:r w:rsidRPr="00E9020C">
        <w:rPr>
          <w:rFonts w:ascii="Arial Narrow" w:hAnsi="Arial Narrow"/>
        </w:rPr>
        <w:t>– zbiór stawek opłat oraz warunków ich stosowania, opracowany przez OSD i zatwierdzony przez Prezesa Urzędu Regulacji Energetyki, wprowadzony do stosowania jako obowiązujący określonych w nim odbiorców,</w:t>
      </w:r>
    </w:p>
    <w:p w14:paraId="0BE15D74" w14:textId="77777777" w:rsidR="0046156B" w:rsidRDefault="0046156B" w:rsidP="0046156B">
      <w:pPr>
        <w:numPr>
          <w:ilvl w:val="0"/>
          <w:numId w:val="3"/>
        </w:numPr>
        <w:spacing w:after="120" w:line="240" w:lineRule="auto"/>
        <w:ind w:leftChars="-1" w:left="282" w:hangingChars="129" w:hanging="284"/>
        <w:jc w:val="both"/>
        <w:rPr>
          <w:rFonts w:ascii="Arial Narrow" w:hAnsi="Arial Narrow"/>
        </w:rPr>
      </w:pPr>
      <w:r>
        <w:rPr>
          <w:rFonts w:ascii="Arial Narrow" w:hAnsi="Arial Narrow"/>
          <w:color w:val="000000" w:themeColor="text1"/>
        </w:rPr>
        <w:t>Ustawa</w:t>
      </w:r>
      <w:r w:rsidRPr="00E9020C">
        <w:rPr>
          <w:rFonts w:ascii="Arial Narrow" w:hAnsi="Arial Narrow"/>
          <w:color w:val="000000" w:themeColor="text1"/>
        </w:rPr>
        <w:t xml:space="preserve"> z dnia 10 kwietnia 1997 roku Prawo energetyczne wraz z aktami wykonawczymi do ww. ustawy (t. j. Dz. U. z 2022 r. poz. 1385 ze zm.), zwaną </w:t>
      </w:r>
      <w:r>
        <w:rPr>
          <w:rFonts w:ascii="Arial Narrow" w:hAnsi="Arial Narrow"/>
          <w:color w:val="000000" w:themeColor="text1"/>
        </w:rPr>
        <w:t>także</w:t>
      </w:r>
      <w:r w:rsidRPr="00E9020C">
        <w:rPr>
          <w:rFonts w:ascii="Arial Narrow" w:hAnsi="Arial Narrow"/>
          <w:color w:val="000000" w:themeColor="text1"/>
        </w:rPr>
        <w:t xml:space="preserve"> „Ustawą Pe” lub „Pe”;</w:t>
      </w:r>
    </w:p>
    <w:p w14:paraId="5FCAE8BB" w14:textId="77777777" w:rsidR="0046156B" w:rsidRDefault="0046156B" w:rsidP="0046156B">
      <w:pPr>
        <w:numPr>
          <w:ilvl w:val="0"/>
          <w:numId w:val="3"/>
        </w:numPr>
        <w:spacing w:after="120" w:line="240" w:lineRule="auto"/>
        <w:ind w:leftChars="-1" w:left="282" w:hangingChars="129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U</w:t>
      </w:r>
      <w:r>
        <w:rPr>
          <w:rFonts w:ascii="Arial Narrow" w:hAnsi="Arial Narrow"/>
          <w:color w:val="000000" w:themeColor="text1"/>
        </w:rPr>
        <w:t>stawa</w:t>
      </w:r>
      <w:r w:rsidRPr="00E9020C">
        <w:rPr>
          <w:rFonts w:ascii="Arial Narrow" w:hAnsi="Arial Narrow"/>
          <w:color w:val="000000" w:themeColor="text1"/>
        </w:rPr>
        <w:t xml:space="preserve"> z dnia 20 lutego 2015 roku o odnawialnych źródłach energii (Dz. U. z 2022 r. poz. 1378 ze zm.), zwaną </w:t>
      </w:r>
      <w:r>
        <w:rPr>
          <w:rFonts w:ascii="Arial Narrow" w:hAnsi="Arial Narrow"/>
          <w:color w:val="000000" w:themeColor="text1"/>
        </w:rPr>
        <w:t>także</w:t>
      </w:r>
      <w:r w:rsidRPr="00E9020C">
        <w:rPr>
          <w:rFonts w:ascii="Arial Narrow" w:hAnsi="Arial Narrow"/>
          <w:color w:val="000000" w:themeColor="text1"/>
        </w:rPr>
        <w:t xml:space="preserve"> „OZE”;</w:t>
      </w:r>
    </w:p>
    <w:p w14:paraId="064F339D" w14:textId="77777777" w:rsidR="0046156B" w:rsidRPr="0046156B" w:rsidRDefault="0046156B" w:rsidP="0046156B">
      <w:pPr>
        <w:numPr>
          <w:ilvl w:val="0"/>
          <w:numId w:val="3"/>
        </w:numPr>
        <w:spacing w:after="120" w:line="240" w:lineRule="auto"/>
        <w:ind w:leftChars="-1" w:left="282" w:hangingChars="129" w:hanging="284"/>
        <w:jc w:val="both"/>
        <w:rPr>
          <w:rFonts w:ascii="Arial Narrow" w:hAnsi="Arial Narrow"/>
        </w:rPr>
      </w:pPr>
      <w:r>
        <w:rPr>
          <w:rFonts w:ascii="Arial Narrow" w:hAnsi="Arial Narrow"/>
          <w:color w:val="000000" w:themeColor="text1"/>
        </w:rPr>
        <w:t>przepisy</w:t>
      </w:r>
      <w:r w:rsidRPr="0046156B">
        <w:rPr>
          <w:rFonts w:ascii="Arial Narrow" w:hAnsi="Arial Narrow"/>
          <w:color w:val="000000" w:themeColor="text1"/>
        </w:rPr>
        <w:t xml:space="preserve"> ustawy z dnia 23 kwietnia 1964 roku – Kodeks Cywilny (Dz. U. z 2022 r. poz. 1360 ze zm.), zwaną </w:t>
      </w:r>
      <w:r>
        <w:rPr>
          <w:rFonts w:ascii="Arial Narrow" w:hAnsi="Arial Narrow"/>
          <w:color w:val="000000" w:themeColor="text1"/>
        </w:rPr>
        <w:t>także</w:t>
      </w:r>
      <w:r w:rsidRPr="0046156B">
        <w:rPr>
          <w:rFonts w:ascii="Arial Narrow" w:hAnsi="Arial Narrow"/>
          <w:color w:val="000000" w:themeColor="text1"/>
        </w:rPr>
        <w:t xml:space="preserve"> „KC”;</w:t>
      </w:r>
    </w:p>
    <w:p w14:paraId="6C635118" w14:textId="77777777" w:rsidR="0046156B" w:rsidRPr="00E9020C" w:rsidRDefault="0046156B" w:rsidP="0046156B">
      <w:pPr>
        <w:spacing w:after="27" w:line="249" w:lineRule="auto"/>
        <w:rPr>
          <w:rFonts w:ascii="Arial Narrow" w:eastAsia="Arial" w:hAnsi="Arial Narrow" w:cs="Arial"/>
          <w:b/>
          <w:color w:val="000000" w:themeColor="text1"/>
        </w:rPr>
      </w:pPr>
    </w:p>
    <w:p w14:paraId="67774398" w14:textId="24B423CB" w:rsidR="00BD006D" w:rsidRPr="00E9020C" w:rsidRDefault="00D276D3">
      <w:pPr>
        <w:spacing w:after="27" w:line="249" w:lineRule="auto"/>
        <w:ind w:left="-3" w:hanging="10"/>
        <w:rPr>
          <w:rFonts w:ascii="Arial Narrow" w:eastAsia="Arial" w:hAnsi="Arial Narrow" w:cs="Arial"/>
          <w:color w:val="000000" w:themeColor="text1"/>
        </w:rPr>
      </w:pPr>
      <w:r w:rsidRPr="00E9020C">
        <w:rPr>
          <w:rFonts w:ascii="Arial Narrow" w:eastAsia="Arial" w:hAnsi="Arial Narrow" w:cs="Arial"/>
          <w:b/>
          <w:color w:val="000000" w:themeColor="text1"/>
        </w:rPr>
        <w:t>1. Przedmiot zamówienia:</w:t>
      </w:r>
      <w:r w:rsidRPr="00E9020C">
        <w:rPr>
          <w:rFonts w:ascii="Arial Narrow" w:eastAsia="Arial" w:hAnsi="Arial Narrow" w:cs="Arial"/>
          <w:color w:val="000000" w:themeColor="text1"/>
        </w:rPr>
        <w:t xml:space="preserve"> </w:t>
      </w:r>
    </w:p>
    <w:p w14:paraId="2DCDF458" w14:textId="77777777" w:rsidR="00C916EB" w:rsidRPr="00E9020C" w:rsidRDefault="00C916EB">
      <w:pPr>
        <w:spacing w:after="27" w:line="249" w:lineRule="auto"/>
        <w:ind w:left="-3" w:hanging="10"/>
        <w:rPr>
          <w:rFonts w:ascii="Arial Narrow" w:hAnsi="Arial Narrow"/>
          <w:color w:val="000000" w:themeColor="text1"/>
        </w:rPr>
      </w:pPr>
    </w:p>
    <w:p w14:paraId="6EE10DF4" w14:textId="77777777" w:rsidR="006F136F" w:rsidRDefault="00D276D3" w:rsidP="009B2797">
      <w:pPr>
        <w:spacing w:after="28" w:line="249" w:lineRule="auto"/>
        <w:ind w:left="-13" w:right="39"/>
        <w:jc w:val="both"/>
        <w:rPr>
          <w:rFonts w:ascii="Arial Narrow" w:hAnsi="Arial Narrow"/>
          <w:bCs/>
          <w:iCs/>
        </w:rPr>
      </w:pPr>
      <w:r w:rsidRPr="00E9020C">
        <w:rPr>
          <w:rFonts w:ascii="Arial Narrow" w:eastAsia="Arial" w:hAnsi="Arial Narrow" w:cs="Arial"/>
          <w:color w:val="000000" w:themeColor="text1"/>
        </w:rPr>
        <w:t xml:space="preserve">Przedmiotem zamówienia jest kompleksowa dostawa (obejmująca dostawę i świadczenie usług dystrybucji) energii elektrycznej </w:t>
      </w:r>
      <w:r w:rsidR="00AA621E" w:rsidRPr="00E9020C">
        <w:rPr>
          <w:rFonts w:ascii="Arial Narrow" w:eastAsia="Arial" w:hAnsi="Arial Narrow" w:cs="Arial"/>
          <w:color w:val="000000" w:themeColor="text1"/>
        </w:rPr>
        <w:t>do</w:t>
      </w:r>
      <w:r w:rsidR="00C86E79" w:rsidRPr="00E9020C">
        <w:rPr>
          <w:rFonts w:ascii="Arial Narrow" w:eastAsia="Arial" w:hAnsi="Arial Narrow" w:cs="Arial"/>
          <w:color w:val="000000" w:themeColor="text1"/>
        </w:rPr>
        <w:t xml:space="preserve"> Włocławskiego Inkubatora I</w:t>
      </w:r>
      <w:r w:rsidR="00345E23" w:rsidRPr="00E9020C">
        <w:rPr>
          <w:rFonts w:ascii="Arial Narrow" w:eastAsia="Arial" w:hAnsi="Arial Narrow" w:cs="Arial"/>
          <w:color w:val="000000" w:themeColor="text1"/>
        </w:rPr>
        <w:t>n</w:t>
      </w:r>
      <w:r w:rsidR="00C86E79" w:rsidRPr="00E9020C">
        <w:rPr>
          <w:rFonts w:ascii="Arial Narrow" w:eastAsia="Arial" w:hAnsi="Arial Narrow" w:cs="Arial"/>
          <w:color w:val="000000" w:themeColor="text1"/>
        </w:rPr>
        <w:t>nowacji i P</w:t>
      </w:r>
      <w:r w:rsidR="009B2797">
        <w:rPr>
          <w:rFonts w:ascii="Arial Narrow" w:eastAsia="Arial" w:hAnsi="Arial Narrow" w:cs="Arial"/>
          <w:color w:val="000000" w:themeColor="text1"/>
        </w:rPr>
        <w:t>rzedsiębiorczości we Włocławku</w:t>
      </w:r>
      <w:r w:rsidR="009B2797" w:rsidRPr="003522A8">
        <w:rPr>
          <w:rFonts w:ascii="Arial Narrow" w:hAnsi="Arial Narrow"/>
          <w:bCs/>
          <w:iCs/>
        </w:rPr>
        <w:t>, zgodnie z obowiązującymi przepi</w:t>
      </w:r>
      <w:r w:rsidR="009B2797">
        <w:rPr>
          <w:rFonts w:ascii="Arial Narrow" w:hAnsi="Arial Narrow"/>
          <w:bCs/>
          <w:iCs/>
        </w:rPr>
        <w:t xml:space="preserve">sami i </w:t>
      </w:r>
      <w:r w:rsidR="009B2797" w:rsidRPr="003522A8">
        <w:rPr>
          <w:rFonts w:ascii="Arial Narrow" w:hAnsi="Arial Narrow"/>
          <w:bCs/>
          <w:iCs/>
        </w:rPr>
        <w:t>standarda</w:t>
      </w:r>
      <w:r w:rsidR="009B2797">
        <w:rPr>
          <w:rFonts w:ascii="Arial Narrow" w:hAnsi="Arial Narrow"/>
          <w:bCs/>
          <w:iCs/>
        </w:rPr>
        <w:t xml:space="preserve">mi jakościowymi dla </w:t>
      </w:r>
      <w:r w:rsidR="009B2797" w:rsidRPr="003522A8">
        <w:rPr>
          <w:rFonts w:ascii="Arial Narrow" w:hAnsi="Arial Narrow"/>
          <w:bCs/>
          <w:iCs/>
        </w:rPr>
        <w:t>energii elektrycznej opisan</w:t>
      </w:r>
      <w:r w:rsidR="009B2797">
        <w:rPr>
          <w:rFonts w:ascii="Arial Narrow" w:hAnsi="Arial Narrow"/>
          <w:bCs/>
          <w:iCs/>
        </w:rPr>
        <w:t>y</w:t>
      </w:r>
      <w:r w:rsidR="006F136F">
        <w:rPr>
          <w:rFonts w:ascii="Arial Narrow" w:hAnsi="Arial Narrow"/>
          <w:bCs/>
          <w:iCs/>
        </w:rPr>
        <w:t xml:space="preserve">mi </w:t>
      </w:r>
      <w:r w:rsidR="009B2797" w:rsidRPr="003522A8">
        <w:rPr>
          <w:rFonts w:ascii="Arial Narrow" w:hAnsi="Arial Narrow"/>
          <w:bCs/>
          <w:iCs/>
        </w:rPr>
        <w:t>w ustawie z dnia 10 kwietnia 1997</w:t>
      </w:r>
      <w:r w:rsidR="009B2797">
        <w:rPr>
          <w:rFonts w:ascii="Arial Narrow" w:hAnsi="Arial Narrow"/>
          <w:bCs/>
          <w:iCs/>
        </w:rPr>
        <w:t xml:space="preserve"> roku</w:t>
      </w:r>
      <w:r w:rsidR="009B2797" w:rsidRPr="003522A8">
        <w:rPr>
          <w:rFonts w:ascii="Arial Narrow" w:hAnsi="Arial Narrow"/>
          <w:bCs/>
          <w:iCs/>
        </w:rPr>
        <w:t xml:space="preserve"> – Prawo energetyczne oraz w </w:t>
      </w:r>
      <w:r w:rsidR="009B2797">
        <w:rPr>
          <w:rFonts w:ascii="Arial Narrow" w:hAnsi="Arial Narrow"/>
          <w:bCs/>
          <w:iCs/>
        </w:rPr>
        <w:t>r</w:t>
      </w:r>
      <w:r w:rsidR="009B2797" w:rsidRPr="003522A8">
        <w:rPr>
          <w:rFonts w:ascii="Arial Narrow" w:hAnsi="Arial Narrow"/>
          <w:bCs/>
          <w:iCs/>
        </w:rPr>
        <w:t>ozporządzeniu Ministra Gospodarki z dnia 4 maja 2007</w:t>
      </w:r>
      <w:r w:rsidR="009B2797">
        <w:rPr>
          <w:rFonts w:ascii="Arial Narrow" w:hAnsi="Arial Narrow"/>
          <w:bCs/>
          <w:iCs/>
        </w:rPr>
        <w:t xml:space="preserve"> </w:t>
      </w:r>
      <w:r w:rsidR="009B2797" w:rsidRPr="003522A8">
        <w:rPr>
          <w:rFonts w:ascii="Arial Narrow" w:hAnsi="Arial Narrow"/>
          <w:bCs/>
          <w:iCs/>
        </w:rPr>
        <w:t>r</w:t>
      </w:r>
      <w:r w:rsidR="009B2797">
        <w:rPr>
          <w:rFonts w:ascii="Arial Narrow" w:hAnsi="Arial Narrow"/>
          <w:bCs/>
          <w:iCs/>
        </w:rPr>
        <w:t>oku</w:t>
      </w:r>
      <w:r w:rsidR="009B2797" w:rsidRPr="003522A8">
        <w:rPr>
          <w:rFonts w:ascii="Arial Narrow" w:hAnsi="Arial Narrow"/>
          <w:bCs/>
          <w:iCs/>
        </w:rPr>
        <w:t xml:space="preserve"> w sprawie szczegółowych warunków funkcjonowania systemu elektroenergetycznego (Dz.U. 2007 r. Nr 93 poz. 623 ze zm.). </w:t>
      </w:r>
    </w:p>
    <w:p w14:paraId="450989DC" w14:textId="4AE12F8B" w:rsidR="009B2797" w:rsidRPr="009B2797" w:rsidRDefault="009B2797" w:rsidP="009B2797">
      <w:pPr>
        <w:spacing w:after="28" w:line="249" w:lineRule="auto"/>
        <w:ind w:left="-13" w:right="39"/>
        <w:jc w:val="both"/>
        <w:rPr>
          <w:rFonts w:ascii="Arial Narrow" w:eastAsia="Arial" w:hAnsi="Arial Narrow" w:cs="Arial"/>
          <w:color w:val="000000" w:themeColor="text1"/>
        </w:rPr>
      </w:pPr>
      <w:r w:rsidRPr="003522A8">
        <w:rPr>
          <w:rFonts w:ascii="Arial Narrow" w:hAnsi="Arial Narrow"/>
          <w:bCs/>
          <w:iCs/>
        </w:rPr>
        <w:t xml:space="preserve">Zasady kształtowania i kalkulacji taryf oraz rozliczeń w obrocie energią elektryczną określa </w:t>
      </w:r>
      <w:r>
        <w:rPr>
          <w:rFonts w:ascii="Arial Narrow" w:hAnsi="Arial Narrow"/>
          <w:bCs/>
          <w:iCs/>
        </w:rPr>
        <w:t>r</w:t>
      </w:r>
      <w:r w:rsidRPr="003522A8">
        <w:rPr>
          <w:rFonts w:ascii="Arial Narrow" w:hAnsi="Arial Narrow"/>
          <w:bCs/>
          <w:iCs/>
        </w:rPr>
        <w:t>ozporządzenie Ministra Energii z dnia 6 marca 2019 r</w:t>
      </w:r>
      <w:r>
        <w:rPr>
          <w:rFonts w:ascii="Arial Narrow" w:hAnsi="Arial Narrow"/>
          <w:bCs/>
          <w:iCs/>
        </w:rPr>
        <w:t>oku</w:t>
      </w:r>
      <w:r w:rsidRPr="003522A8">
        <w:rPr>
          <w:rFonts w:ascii="Arial Narrow" w:hAnsi="Arial Narrow"/>
          <w:bCs/>
          <w:iCs/>
        </w:rPr>
        <w:t xml:space="preserve"> (Dz.U. 2019 r. poz. 503 ze zm.)</w:t>
      </w:r>
      <w:r>
        <w:rPr>
          <w:rFonts w:ascii="Arial Narrow" w:hAnsi="Arial Narrow"/>
          <w:bCs/>
          <w:iCs/>
        </w:rPr>
        <w:t>.</w:t>
      </w:r>
    </w:p>
    <w:p w14:paraId="55EC902C" w14:textId="77777777" w:rsidR="00C86E79" w:rsidRPr="00E9020C" w:rsidRDefault="00C86E79" w:rsidP="009B2797">
      <w:pPr>
        <w:spacing w:after="28" w:line="249" w:lineRule="auto"/>
        <w:ind w:right="39"/>
        <w:jc w:val="both"/>
        <w:rPr>
          <w:rFonts w:ascii="Arial Narrow" w:eastAsia="Arial" w:hAnsi="Arial Narrow" w:cs="Arial"/>
          <w:color w:val="000000" w:themeColor="text1"/>
        </w:rPr>
      </w:pPr>
    </w:p>
    <w:p w14:paraId="3F656D89" w14:textId="77777777" w:rsidR="00A9376F" w:rsidRPr="003522A8" w:rsidRDefault="00A9376F" w:rsidP="00A9376F">
      <w:pPr>
        <w:spacing w:after="0" w:line="240" w:lineRule="auto"/>
        <w:jc w:val="both"/>
        <w:rPr>
          <w:rFonts w:ascii="Arial Narrow" w:hAnsi="Arial Narrow"/>
          <w:bCs/>
          <w:iCs/>
        </w:rPr>
      </w:pPr>
      <w:r w:rsidRPr="003522A8">
        <w:rPr>
          <w:rFonts w:ascii="Arial Narrow" w:hAnsi="Arial Narrow"/>
          <w:bCs/>
          <w:iCs/>
        </w:rPr>
        <w:t>Standardy dotyczące dystrybucji energii elektrycznej zawarte są w Taryfie Operatora, która określa:</w:t>
      </w:r>
    </w:p>
    <w:p w14:paraId="3127F417" w14:textId="77777777" w:rsidR="00A9376F" w:rsidRPr="003522A8" w:rsidRDefault="00A9376F" w:rsidP="00A9376F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  <w:bCs/>
          <w:iCs/>
        </w:rPr>
      </w:pPr>
      <w:r w:rsidRPr="003522A8">
        <w:rPr>
          <w:rFonts w:ascii="Arial Narrow" w:hAnsi="Arial Narrow"/>
          <w:bCs/>
          <w:iCs/>
        </w:rPr>
        <w:t>grupy taryfowe i szczegółowe kryteria kwalifikowania odbiorców do tych grup;</w:t>
      </w:r>
    </w:p>
    <w:p w14:paraId="64CBEF98" w14:textId="77777777" w:rsidR="00A9376F" w:rsidRPr="003522A8" w:rsidRDefault="00A9376F" w:rsidP="00A9376F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  <w:bCs/>
          <w:iCs/>
        </w:rPr>
      </w:pPr>
      <w:r w:rsidRPr="003522A8">
        <w:rPr>
          <w:rFonts w:ascii="Arial Narrow" w:hAnsi="Arial Narrow"/>
          <w:bCs/>
          <w:iCs/>
        </w:rPr>
        <w:t xml:space="preserve">sposób ustalania opłat za przyłączenie do sieci Operatora, zaś w przypadku przyłączenia do sieci o napięciu znamionowym nie wyższym niż 1 </w:t>
      </w:r>
      <w:proofErr w:type="spellStart"/>
      <w:r w:rsidRPr="003522A8">
        <w:rPr>
          <w:rFonts w:ascii="Arial Narrow" w:hAnsi="Arial Narrow"/>
          <w:bCs/>
          <w:iCs/>
        </w:rPr>
        <w:t>kV</w:t>
      </w:r>
      <w:proofErr w:type="spellEnd"/>
      <w:r w:rsidRPr="003522A8">
        <w:rPr>
          <w:rFonts w:ascii="Arial Narrow" w:hAnsi="Arial Narrow"/>
          <w:bCs/>
          <w:iCs/>
        </w:rPr>
        <w:t xml:space="preserve"> także ryczałtowe stawki opłat;</w:t>
      </w:r>
    </w:p>
    <w:p w14:paraId="7EB380DE" w14:textId="77777777" w:rsidR="00A9376F" w:rsidRPr="003522A8" w:rsidRDefault="00A9376F" w:rsidP="00A9376F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  <w:bCs/>
          <w:iCs/>
        </w:rPr>
      </w:pPr>
      <w:r w:rsidRPr="003522A8">
        <w:rPr>
          <w:rFonts w:ascii="Arial Narrow" w:hAnsi="Arial Narrow"/>
          <w:bCs/>
          <w:iCs/>
        </w:rPr>
        <w:t>stawki opłat za świadczenie usługi dystrybucji i warunki ich stosowania, z uwzględnieniem podziału na stawki wynikające z:</w:t>
      </w:r>
    </w:p>
    <w:p w14:paraId="4763BF02" w14:textId="77777777" w:rsidR="00A9376F" w:rsidRPr="003522A8" w:rsidRDefault="00A9376F" w:rsidP="00A9376F">
      <w:pPr>
        <w:numPr>
          <w:ilvl w:val="0"/>
          <w:numId w:val="7"/>
        </w:numPr>
        <w:spacing w:after="0" w:line="240" w:lineRule="auto"/>
        <w:jc w:val="both"/>
        <w:rPr>
          <w:rFonts w:ascii="Arial Narrow" w:hAnsi="Arial Narrow"/>
          <w:bCs/>
          <w:iCs/>
        </w:rPr>
      </w:pPr>
      <w:r w:rsidRPr="003522A8">
        <w:rPr>
          <w:rFonts w:ascii="Arial Narrow" w:hAnsi="Arial Narrow"/>
          <w:bCs/>
          <w:iCs/>
        </w:rPr>
        <w:t>dystrybucji energii elektrycznej (składniki zmienne i stałe stawki sieciowej),</w:t>
      </w:r>
    </w:p>
    <w:p w14:paraId="58A37B07" w14:textId="77777777" w:rsidR="00A9376F" w:rsidRPr="003522A8" w:rsidRDefault="00A9376F" w:rsidP="00A9376F">
      <w:pPr>
        <w:numPr>
          <w:ilvl w:val="0"/>
          <w:numId w:val="7"/>
        </w:numPr>
        <w:spacing w:after="0" w:line="240" w:lineRule="auto"/>
        <w:jc w:val="both"/>
        <w:rPr>
          <w:rFonts w:ascii="Arial Narrow" w:hAnsi="Arial Narrow"/>
          <w:bCs/>
          <w:iCs/>
        </w:rPr>
      </w:pPr>
      <w:r w:rsidRPr="003522A8">
        <w:rPr>
          <w:rFonts w:ascii="Arial Narrow" w:hAnsi="Arial Narrow"/>
          <w:bCs/>
          <w:iCs/>
        </w:rPr>
        <w:t>korzystania z krajowego systemu elektroenergetycznego (stawki jakościowe),</w:t>
      </w:r>
    </w:p>
    <w:p w14:paraId="12B3AA71" w14:textId="77777777" w:rsidR="00A9376F" w:rsidRPr="003522A8" w:rsidRDefault="00A9376F" w:rsidP="00A9376F">
      <w:pPr>
        <w:numPr>
          <w:ilvl w:val="0"/>
          <w:numId w:val="7"/>
        </w:numPr>
        <w:spacing w:after="0" w:line="240" w:lineRule="auto"/>
        <w:jc w:val="both"/>
        <w:rPr>
          <w:rFonts w:ascii="Arial Narrow" w:hAnsi="Arial Narrow"/>
          <w:bCs/>
          <w:iCs/>
        </w:rPr>
      </w:pPr>
      <w:r w:rsidRPr="003522A8">
        <w:rPr>
          <w:rFonts w:ascii="Arial Narrow" w:hAnsi="Arial Narrow"/>
          <w:bCs/>
          <w:iCs/>
        </w:rPr>
        <w:t>odczytywania wskazań układów pomiarowo</w:t>
      </w:r>
      <w:r>
        <w:rPr>
          <w:rFonts w:ascii="Arial Narrow" w:hAnsi="Arial Narrow"/>
          <w:bCs/>
          <w:iCs/>
        </w:rPr>
        <w:t xml:space="preserve"> – </w:t>
      </w:r>
      <w:r w:rsidRPr="003522A8">
        <w:rPr>
          <w:rFonts w:ascii="Arial Narrow" w:hAnsi="Arial Narrow"/>
          <w:bCs/>
          <w:iCs/>
        </w:rPr>
        <w:t>rozliczeniowych i ich bieżącej kontroli (stawki abonamentowe),</w:t>
      </w:r>
    </w:p>
    <w:p w14:paraId="119E5DF0" w14:textId="77777777" w:rsidR="00A9376F" w:rsidRPr="003522A8" w:rsidRDefault="00A9376F" w:rsidP="00A9376F">
      <w:pPr>
        <w:numPr>
          <w:ilvl w:val="0"/>
          <w:numId w:val="7"/>
        </w:numPr>
        <w:spacing w:after="0" w:line="240" w:lineRule="auto"/>
        <w:jc w:val="both"/>
        <w:rPr>
          <w:rFonts w:ascii="Arial Narrow" w:hAnsi="Arial Narrow"/>
          <w:bCs/>
          <w:iCs/>
        </w:rPr>
      </w:pPr>
      <w:r w:rsidRPr="003522A8">
        <w:rPr>
          <w:rFonts w:ascii="Arial Narrow" w:hAnsi="Arial Narrow"/>
          <w:bCs/>
          <w:iCs/>
        </w:rPr>
        <w:t>przedterminowego rozwiązania kontraktów długoterminowych (stawki opłaty przejściowej),</w:t>
      </w:r>
    </w:p>
    <w:p w14:paraId="03866C19" w14:textId="77777777" w:rsidR="00A9376F" w:rsidRPr="003522A8" w:rsidRDefault="00A9376F" w:rsidP="00A9376F">
      <w:pPr>
        <w:numPr>
          <w:ilvl w:val="0"/>
          <w:numId w:val="7"/>
        </w:numPr>
        <w:spacing w:after="0" w:line="240" w:lineRule="auto"/>
        <w:jc w:val="both"/>
        <w:rPr>
          <w:rFonts w:ascii="Arial Narrow" w:hAnsi="Arial Narrow"/>
          <w:bCs/>
          <w:iCs/>
        </w:rPr>
      </w:pPr>
      <w:r w:rsidRPr="003522A8">
        <w:rPr>
          <w:rFonts w:ascii="Arial Narrow" w:hAnsi="Arial Narrow"/>
          <w:bCs/>
          <w:iCs/>
        </w:rPr>
        <w:t>zapewnienia dostępności energii elektrycznej ze źródeł odnawialnych w krajowym systemie elektroenerg</w:t>
      </w:r>
      <w:r w:rsidRPr="003522A8">
        <w:rPr>
          <w:rFonts w:ascii="Arial Narrow" w:hAnsi="Arial Narrow"/>
          <w:bCs/>
          <w:iCs/>
        </w:rPr>
        <w:t>e</w:t>
      </w:r>
      <w:r w:rsidRPr="003522A8">
        <w:rPr>
          <w:rFonts w:ascii="Arial Narrow" w:hAnsi="Arial Narrow"/>
          <w:bCs/>
          <w:iCs/>
        </w:rPr>
        <w:t>tycznym (stawka opłaty OZE),</w:t>
      </w:r>
    </w:p>
    <w:p w14:paraId="56EDBF7E" w14:textId="77777777" w:rsidR="00A9376F" w:rsidRPr="003522A8" w:rsidRDefault="00A9376F" w:rsidP="00A9376F">
      <w:pPr>
        <w:numPr>
          <w:ilvl w:val="0"/>
          <w:numId w:val="7"/>
        </w:numPr>
        <w:spacing w:after="0" w:line="240" w:lineRule="auto"/>
        <w:jc w:val="both"/>
        <w:rPr>
          <w:rFonts w:ascii="Arial Narrow" w:hAnsi="Arial Narrow"/>
          <w:bCs/>
          <w:iCs/>
        </w:rPr>
      </w:pPr>
      <w:r w:rsidRPr="003522A8">
        <w:rPr>
          <w:rFonts w:ascii="Arial Narrow" w:hAnsi="Arial Narrow"/>
          <w:bCs/>
          <w:iCs/>
        </w:rPr>
        <w:t>zapewnienia średnioterminowego i długoterminowego bezpieczeństwa dostaw energii elektrycznej do o</w:t>
      </w:r>
      <w:r w:rsidRPr="003522A8">
        <w:rPr>
          <w:rFonts w:ascii="Arial Narrow" w:hAnsi="Arial Narrow"/>
          <w:bCs/>
          <w:iCs/>
        </w:rPr>
        <w:t>d</w:t>
      </w:r>
      <w:r w:rsidRPr="003522A8">
        <w:rPr>
          <w:rFonts w:ascii="Arial Narrow" w:hAnsi="Arial Narrow"/>
          <w:bCs/>
          <w:iCs/>
        </w:rPr>
        <w:t xml:space="preserve">biorców końcowych (stawka opłaty </w:t>
      </w:r>
      <w:proofErr w:type="spellStart"/>
      <w:r w:rsidRPr="003522A8">
        <w:rPr>
          <w:rFonts w:ascii="Arial Narrow" w:hAnsi="Arial Narrow"/>
          <w:bCs/>
          <w:iCs/>
        </w:rPr>
        <w:t>mocowej</w:t>
      </w:r>
      <w:proofErr w:type="spellEnd"/>
      <w:r w:rsidRPr="003522A8">
        <w:rPr>
          <w:rFonts w:ascii="Arial Narrow" w:hAnsi="Arial Narrow"/>
          <w:bCs/>
          <w:iCs/>
        </w:rPr>
        <w:t>);</w:t>
      </w:r>
    </w:p>
    <w:p w14:paraId="79D81864" w14:textId="77777777" w:rsidR="00A9376F" w:rsidRDefault="00A9376F" w:rsidP="00A9376F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  <w:bCs/>
          <w:iCs/>
        </w:rPr>
      </w:pPr>
      <w:r w:rsidRPr="003522A8">
        <w:rPr>
          <w:rFonts w:ascii="Arial Narrow" w:hAnsi="Arial Narrow"/>
          <w:bCs/>
          <w:iCs/>
        </w:rPr>
        <w:t>sposób ustalania bonifikat za niedotrzymanie parametrów jakościowych energii elektrycznej i standardów jakościowych obsługi odbiorców;</w:t>
      </w:r>
    </w:p>
    <w:p w14:paraId="722CA970" w14:textId="77777777" w:rsidR="00A9376F" w:rsidRPr="003522A8" w:rsidRDefault="00A9376F" w:rsidP="00A9376F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  <w:bCs/>
          <w:iCs/>
        </w:rPr>
      </w:pPr>
      <w:r w:rsidRPr="003522A8">
        <w:rPr>
          <w:rFonts w:ascii="Arial Narrow" w:hAnsi="Arial Narrow"/>
          <w:bCs/>
          <w:iCs/>
        </w:rPr>
        <w:t>sposób ustalania opłat za:</w:t>
      </w:r>
    </w:p>
    <w:p w14:paraId="366D2A4B" w14:textId="77777777" w:rsidR="00A9376F" w:rsidRPr="003522A8" w:rsidRDefault="00A9376F" w:rsidP="00A9376F">
      <w:pPr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bCs/>
          <w:iCs/>
        </w:rPr>
      </w:pPr>
      <w:proofErr w:type="spellStart"/>
      <w:r w:rsidRPr="003522A8">
        <w:rPr>
          <w:rFonts w:ascii="Arial Narrow" w:hAnsi="Arial Narrow"/>
          <w:bCs/>
          <w:iCs/>
        </w:rPr>
        <w:t>ponadumowny</w:t>
      </w:r>
      <w:proofErr w:type="spellEnd"/>
      <w:r w:rsidRPr="003522A8">
        <w:rPr>
          <w:rFonts w:ascii="Arial Narrow" w:hAnsi="Arial Narrow"/>
          <w:bCs/>
          <w:iCs/>
        </w:rPr>
        <w:t xml:space="preserve"> pobór energii biernej,</w:t>
      </w:r>
    </w:p>
    <w:p w14:paraId="14FC5BC9" w14:textId="77777777" w:rsidR="00A9376F" w:rsidRPr="003522A8" w:rsidRDefault="00A9376F" w:rsidP="00A9376F">
      <w:pPr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bCs/>
          <w:iCs/>
        </w:rPr>
      </w:pPr>
      <w:r w:rsidRPr="003522A8">
        <w:rPr>
          <w:rFonts w:ascii="Arial Narrow" w:hAnsi="Arial Narrow"/>
          <w:bCs/>
          <w:iCs/>
        </w:rPr>
        <w:t>przekroczenia mocy umownej,</w:t>
      </w:r>
    </w:p>
    <w:p w14:paraId="3059EE02" w14:textId="77777777" w:rsidR="00A9376F" w:rsidRDefault="00A9376F" w:rsidP="00A9376F">
      <w:pPr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bCs/>
          <w:iCs/>
        </w:rPr>
      </w:pPr>
      <w:r w:rsidRPr="003522A8">
        <w:rPr>
          <w:rFonts w:ascii="Arial Narrow" w:hAnsi="Arial Narrow"/>
          <w:bCs/>
          <w:iCs/>
        </w:rPr>
        <w:t>nielegalny pobór energii elektrycznej,</w:t>
      </w:r>
    </w:p>
    <w:p w14:paraId="050CA137" w14:textId="77777777" w:rsidR="00A9376F" w:rsidRDefault="00A9376F" w:rsidP="00A9376F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  <w:bCs/>
          <w:iCs/>
        </w:rPr>
      </w:pPr>
      <w:r w:rsidRPr="003522A8">
        <w:rPr>
          <w:rFonts w:ascii="Arial Narrow" w:hAnsi="Arial Narrow"/>
          <w:bCs/>
          <w:iCs/>
        </w:rPr>
        <w:t>opłaty za usługi wykonywane na dodatkowe zlecenie odbiorcy;</w:t>
      </w:r>
    </w:p>
    <w:p w14:paraId="50917054" w14:textId="77777777" w:rsidR="00A9376F" w:rsidRPr="00810079" w:rsidRDefault="00A9376F" w:rsidP="00A9376F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  <w:bCs/>
          <w:iCs/>
        </w:rPr>
      </w:pPr>
      <w:r w:rsidRPr="00810079">
        <w:rPr>
          <w:rFonts w:ascii="Arial Narrow" w:hAnsi="Arial Narrow"/>
          <w:bCs/>
          <w:iCs/>
        </w:rPr>
        <w:lastRenderedPageBreak/>
        <w:t>opłaty za wznowienie dostarczania energii elektrycznej po wstrzymaniu jej dostaw.</w:t>
      </w:r>
    </w:p>
    <w:p w14:paraId="6DBBFF00" w14:textId="782F5FA2" w:rsidR="00A9376F" w:rsidRPr="007F3A71" w:rsidRDefault="00A9376F" w:rsidP="00A9376F">
      <w:pPr>
        <w:pStyle w:val="Default"/>
        <w:jc w:val="both"/>
        <w:rPr>
          <w:rFonts w:ascii="Arial Narrow" w:hAnsi="Arial Narrow"/>
          <w:bCs/>
          <w:sz w:val="22"/>
          <w:szCs w:val="22"/>
        </w:rPr>
      </w:pPr>
      <w:r w:rsidRPr="007F3A71">
        <w:rPr>
          <w:rFonts w:ascii="Arial Narrow" w:hAnsi="Arial Narrow"/>
          <w:bCs/>
          <w:sz w:val="22"/>
          <w:szCs w:val="22"/>
        </w:rPr>
        <w:t>Warunkiem rozpoczęcia dostaw energii elektrycznej we wskazanym terminie jest pozytywne przeprowadzenie procedury zmiany sprzedawcy.</w:t>
      </w:r>
    </w:p>
    <w:p w14:paraId="4B52B7E3" w14:textId="4A85679F" w:rsidR="00A9376F" w:rsidRPr="00A9376F" w:rsidRDefault="00A9376F" w:rsidP="00A9376F">
      <w:pPr>
        <w:pStyle w:val="Default"/>
        <w:spacing w:after="120"/>
        <w:jc w:val="both"/>
        <w:rPr>
          <w:rFonts w:ascii="Arial Narrow" w:hAnsi="Arial Narrow"/>
          <w:color w:val="auto"/>
          <w:sz w:val="22"/>
          <w:szCs w:val="22"/>
        </w:rPr>
      </w:pPr>
      <w:r w:rsidRPr="00804BF1">
        <w:rPr>
          <w:rFonts w:ascii="Arial Narrow" w:hAnsi="Arial Narrow"/>
          <w:color w:val="auto"/>
          <w:sz w:val="22"/>
          <w:szCs w:val="22"/>
        </w:rPr>
        <w:t>Wykonawca w oparciu o udzielone pełnomocnictwo, zobowiązany będzie do zgłoszenia w imieniu własnym i zamawiając</w:t>
      </w:r>
      <w:r>
        <w:rPr>
          <w:rFonts w:ascii="Arial Narrow" w:hAnsi="Arial Narrow"/>
          <w:color w:val="auto"/>
          <w:sz w:val="22"/>
          <w:szCs w:val="22"/>
        </w:rPr>
        <w:t>ego</w:t>
      </w:r>
      <w:r w:rsidRPr="00804BF1">
        <w:rPr>
          <w:rFonts w:ascii="Arial Narrow" w:hAnsi="Arial Narrow"/>
          <w:color w:val="auto"/>
          <w:sz w:val="22"/>
          <w:szCs w:val="22"/>
        </w:rPr>
        <w:t xml:space="preserve"> (odbiorc</w:t>
      </w:r>
      <w:r>
        <w:rPr>
          <w:rFonts w:ascii="Arial Narrow" w:hAnsi="Arial Narrow"/>
          <w:color w:val="auto"/>
          <w:sz w:val="22"/>
          <w:szCs w:val="22"/>
        </w:rPr>
        <w:t>ę</w:t>
      </w:r>
      <w:r w:rsidRPr="00804BF1">
        <w:rPr>
          <w:rFonts w:ascii="Arial Narrow" w:hAnsi="Arial Narrow"/>
          <w:color w:val="auto"/>
          <w:sz w:val="22"/>
          <w:szCs w:val="22"/>
        </w:rPr>
        <w:t>) umów właściwemu OSD zgodnie z obowiązującymi przepisami oraz do reprezent</w:t>
      </w:r>
      <w:r w:rsidRPr="00804BF1">
        <w:rPr>
          <w:rFonts w:ascii="Arial Narrow" w:hAnsi="Arial Narrow"/>
          <w:color w:val="auto"/>
          <w:sz w:val="22"/>
          <w:szCs w:val="22"/>
        </w:rPr>
        <w:t>o</w:t>
      </w:r>
      <w:r w:rsidRPr="00804BF1">
        <w:rPr>
          <w:rFonts w:ascii="Arial Narrow" w:hAnsi="Arial Narrow"/>
          <w:color w:val="auto"/>
          <w:sz w:val="22"/>
          <w:szCs w:val="22"/>
        </w:rPr>
        <w:t>wania zamawiających (odbiorc</w:t>
      </w:r>
      <w:r>
        <w:rPr>
          <w:rFonts w:ascii="Arial Narrow" w:hAnsi="Arial Narrow"/>
          <w:color w:val="auto"/>
          <w:sz w:val="22"/>
          <w:szCs w:val="22"/>
        </w:rPr>
        <w:t>ę</w:t>
      </w:r>
      <w:r w:rsidRPr="00804BF1">
        <w:rPr>
          <w:rFonts w:ascii="Arial Narrow" w:hAnsi="Arial Narrow"/>
          <w:color w:val="auto"/>
          <w:sz w:val="22"/>
          <w:szCs w:val="22"/>
        </w:rPr>
        <w:t>) przed OSD – proces zmiany sprzedawcy.</w:t>
      </w:r>
    </w:p>
    <w:p w14:paraId="29543655" w14:textId="3B480B76" w:rsidR="00AA621E" w:rsidRPr="00E9020C" w:rsidRDefault="00AA621E" w:rsidP="00AA621E">
      <w:pPr>
        <w:spacing w:after="28" w:line="249" w:lineRule="auto"/>
        <w:ind w:left="-13" w:right="39"/>
        <w:jc w:val="both"/>
        <w:rPr>
          <w:rFonts w:ascii="Arial Narrow" w:eastAsia="Arial" w:hAnsi="Arial Narrow" w:cs="Arial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>Nazwa punktu poboru: Włocławski Inkubator Innowacyjności i Przedsiębiorczości</w:t>
      </w:r>
    </w:p>
    <w:p w14:paraId="314E8F89" w14:textId="792C37C1" w:rsidR="00AA621E" w:rsidRPr="00E9020C" w:rsidRDefault="00AA621E" w:rsidP="00AA621E">
      <w:pPr>
        <w:spacing w:after="28" w:line="249" w:lineRule="auto"/>
        <w:ind w:left="-13" w:right="39"/>
        <w:jc w:val="both"/>
        <w:rPr>
          <w:rFonts w:ascii="Arial Narrow" w:eastAsia="Arial" w:hAnsi="Arial Narrow" w:cs="Arial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>Miejscowość: Włocławek</w:t>
      </w:r>
    </w:p>
    <w:p w14:paraId="3063D9D4" w14:textId="00321C19" w:rsidR="00AA621E" w:rsidRPr="00E9020C" w:rsidRDefault="00AA621E" w:rsidP="00AA621E">
      <w:pPr>
        <w:spacing w:after="28" w:line="249" w:lineRule="auto"/>
        <w:ind w:left="-13" w:right="39"/>
        <w:jc w:val="both"/>
        <w:rPr>
          <w:rFonts w:ascii="Arial Narrow" w:eastAsia="Arial" w:hAnsi="Arial Narrow" w:cs="Arial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 xml:space="preserve">Ulica: </w:t>
      </w:r>
      <w:bookmarkStart w:id="1" w:name="_Hlk115942925"/>
      <w:r w:rsidRPr="00E9020C">
        <w:rPr>
          <w:rFonts w:ascii="Arial Narrow" w:eastAsia="Arial" w:hAnsi="Arial Narrow" w:cs="Arial"/>
          <w:color w:val="000000" w:themeColor="text1"/>
        </w:rPr>
        <w:t>Toruńska</w:t>
      </w:r>
      <w:r w:rsidR="00B76B20">
        <w:rPr>
          <w:rFonts w:ascii="Arial Narrow" w:eastAsia="Arial" w:hAnsi="Arial Narrow" w:cs="Arial"/>
          <w:color w:val="000000" w:themeColor="text1"/>
        </w:rPr>
        <w:t xml:space="preserve"> 148</w:t>
      </w:r>
    </w:p>
    <w:p w14:paraId="5298BF23" w14:textId="7D428ED6" w:rsidR="00AA621E" w:rsidRPr="00E9020C" w:rsidRDefault="00AA621E" w:rsidP="00AA621E">
      <w:pPr>
        <w:spacing w:after="28" w:line="249" w:lineRule="auto"/>
        <w:ind w:left="-13" w:right="39"/>
        <w:jc w:val="both"/>
        <w:rPr>
          <w:rFonts w:ascii="Arial Narrow" w:eastAsia="Arial" w:hAnsi="Arial Narrow" w:cs="Arial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>Numer: dz. 148, 148a, 148b, 150</w:t>
      </w:r>
    </w:p>
    <w:p w14:paraId="7D6EAACA" w14:textId="59D27EB1" w:rsidR="00AA621E" w:rsidRPr="00E9020C" w:rsidRDefault="00AA621E" w:rsidP="00AA621E">
      <w:pPr>
        <w:spacing w:after="28" w:line="249" w:lineRule="auto"/>
        <w:ind w:left="-13" w:right="39"/>
        <w:jc w:val="both"/>
        <w:rPr>
          <w:rFonts w:ascii="Arial Narrow" w:eastAsia="Arial" w:hAnsi="Arial Narrow" w:cs="Arial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>Kod: 87-800</w:t>
      </w:r>
    </w:p>
    <w:p w14:paraId="320BF579" w14:textId="18C0EA83" w:rsidR="00AA621E" w:rsidRPr="00E9020C" w:rsidRDefault="00AA621E" w:rsidP="00AA621E">
      <w:pPr>
        <w:spacing w:after="28" w:line="249" w:lineRule="auto"/>
        <w:ind w:left="-13" w:right="39"/>
        <w:jc w:val="both"/>
        <w:rPr>
          <w:rFonts w:ascii="Arial Narrow" w:eastAsia="Arial" w:hAnsi="Arial Narrow" w:cs="Arial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>Poczta: Włocławek</w:t>
      </w:r>
    </w:p>
    <w:bookmarkEnd w:id="1"/>
    <w:p w14:paraId="00066E95" w14:textId="2328CD7D" w:rsidR="00AA621E" w:rsidRPr="00E9020C" w:rsidRDefault="00AA621E" w:rsidP="00AA621E">
      <w:pPr>
        <w:spacing w:after="28" w:line="249" w:lineRule="auto"/>
        <w:ind w:left="-13" w:right="39"/>
        <w:jc w:val="both"/>
        <w:rPr>
          <w:rFonts w:ascii="Arial Narrow" w:eastAsia="Arial" w:hAnsi="Arial Narrow" w:cs="Arial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>Numer PPE: 590243893033443833</w:t>
      </w:r>
    </w:p>
    <w:p w14:paraId="7E04B1BA" w14:textId="47D24EAE" w:rsidR="00AA621E" w:rsidRPr="00E9020C" w:rsidRDefault="00AA621E" w:rsidP="00641C4F">
      <w:pPr>
        <w:spacing w:after="28" w:line="249" w:lineRule="auto"/>
        <w:ind w:left="-13" w:right="39"/>
        <w:jc w:val="both"/>
        <w:rPr>
          <w:rFonts w:ascii="Arial Narrow" w:eastAsia="Arial" w:hAnsi="Arial Narrow" w:cs="Arial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>Moc umowna: 100,00</w:t>
      </w:r>
    </w:p>
    <w:p w14:paraId="6A2141C6" w14:textId="5D74DF25" w:rsidR="00641C4F" w:rsidRPr="00E9020C" w:rsidRDefault="00641C4F" w:rsidP="00641C4F">
      <w:pPr>
        <w:spacing w:after="28" w:line="249" w:lineRule="auto"/>
        <w:ind w:left="-13" w:right="39"/>
        <w:jc w:val="both"/>
        <w:rPr>
          <w:rFonts w:ascii="Arial Narrow" w:eastAsia="Arial" w:hAnsi="Arial Narrow" w:cs="Arial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>Dotychczasowa grupa taryfowa: B21</w:t>
      </w:r>
    </w:p>
    <w:p w14:paraId="79B56B82" w14:textId="6629C546" w:rsidR="00BD006D" w:rsidRPr="00E9020C" w:rsidRDefault="00AA621E" w:rsidP="00641C4F">
      <w:pPr>
        <w:spacing w:after="28" w:line="249" w:lineRule="auto"/>
        <w:ind w:left="-13" w:right="39"/>
        <w:jc w:val="both"/>
        <w:rPr>
          <w:rFonts w:ascii="Arial Narrow" w:hAnsi="Arial Narrow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>Łączny</w:t>
      </w:r>
      <w:r w:rsidR="00D276D3" w:rsidRPr="00E9020C">
        <w:rPr>
          <w:rFonts w:ascii="Arial Narrow" w:eastAsia="Arial" w:hAnsi="Arial Narrow" w:cs="Arial"/>
          <w:color w:val="000000" w:themeColor="text1"/>
        </w:rPr>
        <w:t xml:space="preserve"> szacowanym wolumen </w:t>
      </w:r>
      <w:r w:rsidR="0058722D" w:rsidRPr="00E9020C">
        <w:rPr>
          <w:rFonts w:ascii="Arial Narrow" w:eastAsia="Arial" w:hAnsi="Arial Narrow" w:cs="Arial"/>
          <w:color w:val="000000" w:themeColor="text1"/>
        </w:rPr>
        <w:t>335416</w:t>
      </w:r>
      <w:r w:rsidR="00D276D3" w:rsidRPr="00E9020C">
        <w:rPr>
          <w:rFonts w:ascii="Arial Narrow" w:eastAsia="Arial" w:hAnsi="Arial Narrow" w:cs="Arial"/>
          <w:color w:val="000000" w:themeColor="text1"/>
        </w:rPr>
        <w:t xml:space="preserve"> kWh w okresie od dnia 01 stycznia 2023 roku do dnia </w:t>
      </w:r>
      <w:r w:rsidR="00641C4F" w:rsidRPr="00E9020C">
        <w:rPr>
          <w:rFonts w:ascii="Arial Narrow" w:eastAsia="Arial" w:hAnsi="Arial Narrow" w:cs="Arial"/>
          <w:color w:val="000000" w:themeColor="text1"/>
        </w:rPr>
        <w:t xml:space="preserve">31.12.2023 </w:t>
      </w:r>
      <w:r w:rsidR="00D276D3" w:rsidRPr="00E9020C">
        <w:rPr>
          <w:rFonts w:ascii="Arial Narrow" w:eastAsia="Arial" w:hAnsi="Arial Narrow" w:cs="Arial"/>
          <w:color w:val="000000" w:themeColor="text1"/>
        </w:rPr>
        <w:t xml:space="preserve"> </w:t>
      </w:r>
    </w:p>
    <w:p w14:paraId="3FEA43CD" w14:textId="61DDAB1D" w:rsidR="00BD006D" w:rsidRPr="00E9020C" w:rsidRDefault="00D276D3">
      <w:pPr>
        <w:spacing w:after="0" w:line="248" w:lineRule="auto"/>
        <w:ind w:left="-3" w:right="35" w:hanging="10"/>
        <w:jc w:val="both"/>
        <w:rPr>
          <w:rFonts w:ascii="Arial Narrow" w:eastAsia="Arial" w:hAnsi="Arial Narrow" w:cs="Arial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 xml:space="preserve">W </w:t>
      </w:r>
      <w:r w:rsidR="00641C4F" w:rsidRPr="00E9020C">
        <w:rPr>
          <w:rFonts w:ascii="Arial Narrow" w:eastAsia="Arial" w:hAnsi="Arial Narrow" w:cs="Arial"/>
          <w:color w:val="000000" w:themeColor="text1"/>
        </w:rPr>
        <w:t>obiekcie</w:t>
      </w:r>
      <w:r w:rsidRPr="00E9020C">
        <w:rPr>
          <w:rFonts w:ascii="Arial Narrow" w:eastAsia="Arial" w:hAnsi="Arial Narrow" w:cs="Arial"/>
          <w:color w:val="000000" w:themeColor="text1"/>
        </w:rPr>
        <w:t xml:space="preserve"> Zamawiającego zamontowana </w:t>
      </w:r>
      <w:r w:rsidR="00641C4F" w:rsidRPr="00E9020C">
        <w:rPr>
          <w:rFonts w:ascii="Arial Narrow" w:eastAsia="Arial" w:hAnsi="Arial Narrow" w:cs="Arial"/>
          <w:color w:val="000000" w:themeColor="text1"/>
        </w:rPr>
        <w:t>jest</w:t>
      </w:r>
      <w:r w:rsidRPr="00E9020C">
        <w:rPr>
          <w:rFonts w:ascii="Arial Narrow" w:eastAsia="Arial" w:hAnsi="Arial Narrow" w:cs="Arial"/>
          <w:color w:val="000000" w:themeColor="text1"/>
        </w:rPr>
        <w:t xml:space="preserve"> </w:t>
      </w:r>
      <w:proofErr w:type="spellStart"/>
      <w:r w:rsidR="00641C4F" w:rsidRPr="00E9020C">
        <w:rPr>
          <w:rFonts w:ascii="Arial Narrow" w:eastAsia="Arial" w:hAnsi="Arial Narrow" w:cs="Arial"/>
          <w:color w:val="000000" w:themeColor="text1"/>
        </w:rPr>
        <w:t>Mikroinstalacja</w:t>
      </w:r>
      <w:proofErr w:type="spellEnd"/>
      <w:r w:rsidRPr="00E9020C">
        <w:rPr>
          <w:rFonts w:ascii="Arial Narrow" w:eastAsia="Arial" w:hAnsi="Arial Narrow" w:cs="Arial"/>
          <w:color w:val="000000" w:themeColor="text1"/>
        </w:rPr>
        <w:t xml:space="preserve"> – źródło energii instalacja fotowoltaiczna, </w:t>
      </w:r>
      <w:r w:rsidR="00641C4F" w:rsidRPr="00E9020C">
        <w:rPr>
          <w:rFonts w:ascii="Arial Narrow" w:eastAsia="Arial" w:hAnsi="Arial Narrow" w:cs="Arial"/>
          <w:color w:val="000000" w:themeColor="text1"/>
        </w:rPr>
        <w:t>moc instalacji: 48,90 kW,</w:t>
      </w:r>
      <w:r w:rsidRPr="00E9020C">
        <w:rPr>
          <w:rFonts w:ascii="Arial Narrow" w:eastAsia="Arial" w:hAnsi="Arial Narrow" w:cs="Arial"/>
          <w:color w:val="000000" w:themeColor="text1"/>
        </w:rPr>
        <w:t xml:space="preserve"> odbiorc</w:t>
      </w:r>
      <w:r w:rsidR="00641C4F" w:rsidRPr="00E9020C">
        <w:rPr>
          <w:rFonts w:ascii="Arial Narrow" w:eastAsia="Arial" w:hAnsi="Arial Narrow" w:cs="Arial"/>
          <w:color w:val="000000" w:themeColor="text1"/>
        </w:rPr>
        <w:t xml:space="preserve">a </w:t>
      </w:r>
      <w:r w:rsidRPr="00E9020C">
        <w:rPr>
          <w:rFonts w:ascii="Arial Narrow" w:eastAsia="Arial" w:hAnsi="Arial Narrow" w:cs="Arial"/>
          <w:color w:val="000000" w:themeColor="text1"/>
        </w:rPr>
        <w:t xml:space="preserve">posiada status Prosumenta energii odnawialnej. </w:t>
      </w:r>
    </w:p>
    <w:p w14:paraId="0FFA7126" w14:textId="15D36AB7" w:rsidR="00345E23" w:rsidRPr="00E9020C" w:rsidRDefault="00345E23">
      <w:pPr>
        <w:spacing w:after="0" w:line="248" w:lineRule="auto"/>
        <w:ind w:left="-3" w:right="35" w:hanging="10"/>
        <w:jc w:val="both"/>
        <w:rPr>
          <w:rFonts w:ascii="Arial Narrow" w:eastAsia="Arial" w:hAnsi="Arial Narrow" w:cs="Arial"/>
          <w:color w:val="000000" w:themeColor="text1"/>
        </w:rPr>
      </w:pPr>
    </w:p>
    <w:p w14:paraId="3EA13C1C" w14:textId="77777777" w:rsidR="00345E23" w:rsidRPr="00E9020C" w:rsidRDefault="00345E23" w:rsidP="00345E23">
      <w:pPr>
        <w:spacing w:after="0" w:line="249" w:lineRule="auto"/>
        <w:ind w:left="-13" w:right="39"/>
        <w:jc w:val="both"/>
        <w:rPr>
          <w:rFonts w:ascii="Arial Narrow" w:eastAsia="Arial" w:hAnsi="Arial Narrow" w:cs="Arial"/>
          <w:b/>
          <w:bCs/>
          <w:color w:val="000000" w:themeColor="text1"/>
        </w:rPr>
      </w:pPr>
      <w:r w:rsidRPr="00E9020C">
        <w:rPr>
          <w:rFonts w:ascii="Arial Narrow" w:eastAsia="Arial" w:hAnsi="Arial Narrow" w:cs="Arial"/>
          <w:b/>
          <w:bCs/>
          <w:color w:val="000000" w:themeColor="text1"/>
        </w:rPr>
        <w:t xml:space="preserve">2. Nazwy i kody zamówienia według Wspólnego Słownika Zamówień: </w:t>
      </w:r>
    </w:p>
    <w:p w14:paraId="4A8BE1AD" w14:textId="77777777" w:rsidR="00345E23" w:rsidRPr="00E9020C" w:rsidRDefault="00345E23" w:rsidP="00345E23">
      <w:pPr>
        <w:spacing w:after="0" w:line="249" w:lineRule="auto"/>
        <w:ind w:left="-13" w:right="39"/>
        <w:jc w:val="both"/>
        <w:rPr>
          <w:rFonts w:ascii="Arial Narrow" w:eastAsia="Arial" w:hAnsi="Arial Narrow" w:cs="Arial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 xml:space="preserve"> </w:t>
      </w:r>
    </w:p>
    <w:p w14:paraId="735D8C13" w14:textId="77777777" w:rsidR="00345E23" w:rsidRPr="00E9020C" w:rsidRDefault="00345E23" w:rsidP="00345E23">
      <w:pPr>
        <w:spacing w:after="0" w:line="249" w:lineRule="auto"/>
        <w:ind w:left="-13" w:right="39"/>
        <w:jc w:val="both"/>
        <w:rPr>
          <w:rFonts w:ascii="Arial Narrow" w:eastAsia="Arial" w:hAnsi="Arial Narrow" w:cs="Arial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 xml:space="preserve">09.30.00.00 – 2 Energia elektryczna, cieplna, słoneczna i jądrowa </w:t>
      </w:r>
    </w:p>
    <w:p w14:paraId="66D3BA1F" w14:textId="77777777" w:rsidR="00345E23" w:rsidRPr="00E9020C" w:rsidRDefault="00345E23" w:rsidP="00345E23">
      <w:pPr>
        <w:spacing w:after="0" w:line="249" w:lineRule="auto"/>
        <w:ind w:left="-13" w:right="39"/>
        <w:jc w:val="both"/>
        <w:rPr>
          <w:rFonts w:ascii="Arial Narrow" w:eastAsia="Arial" w:hAnsi="Arial Narrow" w:cs="Arial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 xml:space="preserve">09.31.00.00 – 5 Elektryczność </w:t>
      </w:r>
    </w:p>
    <w:p w14:paraId="639835F7" w14:textId="77777777" w:rsidR="00345E23" w:rsidRPr="00E9020C" w:rsidRDefault="00345E23" w:rsidP="00345E23">
      <w:pPr>
        <w:spacing w:after="0" w:line="249" w:lineRule="auto"/>
        <w:ind w:left="-13" w:right="39"/>
        <w:jc w:val="both"/>
        <w:rPr>
          <w:rFonts w:ascii="Arial Narrow" w:eastAsia="Arial" w:hAnsi="Arial Narrow" w:cs="Arial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 xml:space="preserve">65.31.00.00 – 9 </w:t>
      </w:r>
      <w:proofErr w:type="spellStart"/>
      <w:r w:rsidRPr="00E9020C">
        <w:rPr>
          <w:rFonts w:ascii="Arial Narrow" w:eastAsia="Arial" w:hAnsi="Arial Narrow" w:cs="Arial"/>
          <w:color w:val="000000" w:themeColor="text1"/>
        </w:rPr>
        <w:t>Przesył</w:t>
      </w:r>
      <w:proofErr w:type="spellEnd"/>
      <w:r w:rsidRPr="00E9020C">
        <w:rPr>
          <w:rFonts w:ascii="Arial Narrow" w:eastAsia="Arial" w:hAnsi="Arial Narrow" w:cs="Arial"/>
          <w:color w:val="000000" w:themeColor="text1"/>
        </w:rPr>
        <w:t xml:space="preserve"> energii elektrycznej</w:t>
      </w:r>
    </w:p>
    <w:p w14:paraId="1B009390" w14:textId="77777777" w:rsidR="00E23FE2" w:rsidRPr="00E9020C" w:rsidRDefault="00E23FE2">
      <w:pPr>
        <w:spacing w:after="0" w:line="248" w:lineRule="auto"/>
        <w:ind w:left="-3" w:right="35" w:hanging="10"/>
        <w:jc w:val="both"/>
        <w:rPr>
          <w:rFonts w:ascii="Arial Narrow" w:hAnsi="Arial Narrow"/>
          <w:color w:val="000000" w:themeColor="text1"/>
        </w:rPr>
      </w:pPr>
    </w:p>
    <w:p w14:paraId="203B7996" w14:textId="535ABD32" w:rsidR="00C916EB" w:rsidRPr="00E9020C" w:rsidRDefault="00D85D19" w:rsidP="00E9020C">
      <w:pPr>
        <w:spacing w:after="120" w:line="250" w:lineRule="auto"/>
        <w:ind w:right="40"/>
        <w:jc w:val="both"/>
        <w:rPr>
          <w:rFonts w:ascii="Arial Narrow" w:hAnsi="Arial Narrow"/>
          <w:color w:val="000000" w:themeColor="text1"/>
        </w:rPr>
      </w:pPr>
      <w:r w:rsidRPr="00E9020C">
        <w:rPr>
          <w:rFonts w:ascii="Arial Narrow" w:eastAsia="Arial" w:hAnsi="Arial Narrow" w:cs="Arial"/>
          <w:b/>
          <w:bCs/>
          <w:color w:val="000000" w:themeColor="text1"/>
        </w:rPr>
        <w:t xml:space="preserve">3. </w:t>
      </w:r>
      <w:r w:rsidR="00AF3EFD" w:rsidRPr="00E9020C">
        <w:rPr>
          <w:rFonts w:ascii="Arial Narrow" w:eastAsia="Arial" w:hAnsi="Arial Narrow" w:cs="Arial"/>
          <w:b/>
          <w:bCs/>
          <w:color w:val="000000" w:themeColor="text1"/>
        </w:rPr>
        <w:t>A</w:t>
      </w:r>
      <w:r w:rsidR="00D276D3" w:rsidRPr="00E9020C">
        <w:rPr>
          <w:rFonts w:ascii="Arial Narrow" w:eastAsia="Arial" w:hAnsi="Arial Narrow" w:cs="Arial"/>
          <w:b/>
          <w:bCs/>
          <w:color w:val="000000" w:themeColor="text1"/>
        </w:rPr>
        <w:t>dres, na jaki należy przesyłać faktury</w:t>
      </w:r>
      <w:r w:rsidR="00AF3EFD" w:rsidRPr="00E9020C">
        <w:rPr>
          <w:rFonts w:ascii="Arial Narrow" w:eastAsia="Arial" w:hAnsi="Arial Narrow" w:cs="Arial"/>
          <w:b/>
          <w:bCs/>
          <w:color w:val="000000" w:themeColor="text1"/>
        </w:rPr>
        <w:t>:</w:t>
      </w:r>
      <w:r w:rsidR="00AF3EFD" w:rsidRPr="00E9020C">
        <w:rPr>
          <w:rFonts w:ascii="Arial Narrow" w:hAnsi="Arial Narrow"/>
          <w:color w:val="000000" w:themeColor="text1"/>
        </w:rPr>
        <w:t xml:space="preserve"> </w:t>
      </w:r>
      <w:bookmarkStart w:id="2" w:name="_Hlk115945088"/>
    </w:p>
    <w:p w14:paraId="72A28570" w14:textId="714ED086" w:rsidR="00BD006D" w:rsidRPr="00E9020C" w:rsidRDefault="00AF3EFD" w:rsidP="00D85D19">
      <w:pPr>
        <w:spacing w:after="0" w:line="249" w:lineRule="auto"/>
        <w:ind w:right="39"/>
        <w:jc w:val="both"/>
        <w:rPr>
          <w:rFonts w:ascii="Arial Narrow" w:hAnsi="Arial Narrow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>MIEJSKIE BUDOWNICTWO MIESZKANIOWE Sp. z o.o. ul. Pułaskiego 6 lok B2, 87-800 Włocławek, biuro@mbm.wloclawek.pl</w:t>
      </w:r>
    </w:p>
    <w:bookmarkEnd w:id="2"/>
    <w:p w14:paraId="62DB78A1" w14:textId="77777777" w:rsidR="00C86E79" w:rsidRPr="00E9020C" w:rsidRDefault="00C86E79">
      <w:pPr>
        <w:spacing w:after="0" w:line="249" w:lineRule="auto"/>
        <w:ind w:left="-13" w:right="39"/>
        <w:jc w:val="both"/>
        <w:rPr>
          <w:rFonts w:ascii="Arial Narrow" w:eastAsia="Arial" w:hAnsi="Arial Narrow" w:cs="Arial"/>
          <w:color w:val="000000" w:themeColor="text1"/>
        </w:rPr>
      </w:pPr>
    </w:p>
    <w:p w14:paraId="2AEC763C" w14:textId="755FE439" w:rsidR="00840890" w:rsidRPr="00E9020C" w:rsidRDefault="00C916EB" w:rsidP="00C916EB">
      <w:pPr>
        <w:pStyle w:val="Akapitzlist"/>
        <w:ind w:left="0"/>
        <w:rPr>
          <w:rFonts w:ascii="Arial Narrow" w:hAnsi="Arial Narrow" w:cs="Arial"/>
          <w:b/>
          <w:bCs/>
          <w:color w:val="000000" w:themeColor="text1"/>
        </w:rPr>
      </w:pPr>
      <w:r w:rsidRPr="00E9020C">
        <w:rPr>
          <w:rFonts w:ascii="Arial Narrow" w:hAnsi="Arial Narrow" w:cs="Arial"/>
          <w:b/>
          <w:bCs/>
          <w:color w:val="000000" w:themeColor="text1"/>
        </w:rPr>
        <w:t xml:space="preserve">4. </w:t>
      </w:r>
      <w:r w:rsidR="00840890" w:rsidRPr="00E9020C">
        <w:rPr>
          <w:rFonts w:ascii="Arial Narrow" w:hAnsi="Arial Narrow" w:cs="Arial"/>
          <w:b/>
          <w:bCs/>
          <w:color w:val="000000" w:themeColor="text1"/>
        </w:rPr>
        <w:t>Szczegółowy opis punktu poboru (PPE):</w:t>
      </w:r>
    </w:p>
    <w:p w14:paraId="6C5688A0" w14:textId="335E6E47" w:rsidR="00B36780" w:rsidRPr="00E9020C" w:rsidRDefault="00D276D3" w:rsidP="00C916EB">
      <w:pPr>
        <w:pStyle w:val="Akapitzlist"/>
        <w:numPr>
          <w:ilvl w:val="0"/>
          <w:numId w:val="2"/>
        </w:numPr>
        <w:spacing w:after="28" w:line="249" w:lineRule="auto"/>
        <w:ind w:right="39"/>
        <w:jc w:val="both"/>
        <w:rPr>
          <w:rFonts w:ascii="Arial Narrow" w:eastAsia="Arial" w:hAnsi="Arial Narrow" w:cs="Arial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>Nazw</w:t>
      </w:r>
      <w:r w:rsidR="00840890" w:rsidRPr="00E9020C">
        <w:rPr>
          <w:rFonts w:ascii="Arial Narrow" w:eastAsia="Arial" w:hAnsi="Arial Narrow" w:cs="Arial"/>
          <w:color w:val="000000" w:themeColor="text1"/>
        </w:rPr>
        <w:t>a</w:t>
      </w:r>
      <w:r w:rsidRPr="00E9020C">
        <w:rPr>
          <w:rFonts w:ascii="Arial Narrow" w:eastAsia="Arial" w:hAnsi="Arial Narrow" w:cs="Arial"/>
          <w:color w:val="000000" w:themeColor="text1"/>
        </w:rPr>
        <w:t xml:space="preserve"> / adres obiektu</w:t>
      </w:r>
      <w:r w:rsidR="00B36780" w:rsidRPr="00E9020C">
        <w:rPr>
          <w:rFonts w:ascii="Arial Narrow" w:eastAsia="Arial" w:hAnsi="Arial Narrow" w:cs="Arial"/>
          <w:color w:val="000000" w:themeColor="text1"/>
        </w:rPr>
        <w:t>: Włocławski Inkubator Innowacyjności i Przedsiębiorczości, Toruńska 148,</w:t>
      </w:r>
      <w:r w:rsidR="00B36780" w:rsidRPr="00E9020C">
        <w:rPr>
          <w:rFonts w:ascii="Arial Narrow" w:hAnsi="Arial Narrow"/>
          <w:color w:val="000000" w:themeColor="text1"/>
        </w:rPr>
        <w:t xml:space="preserve"> </w:t>
      </w:r>
      <w:r w:rsidR="00B36780" w:rsidRPr="00E9020C">
        <w:rPr>
          <w:rFonts w:ascii="Arial Narrow" w:eastAsia="Arial" w:hAnsi="Arial Narrow" w:cs="Arial"/>
          <w:color w:val="000000" w:themeColor="text1"/>
        </w:rPr>
        <w:t>87-800 Włocławek, Numer: dz. 148, 148a, 148b, 150.</w:t>
      </w:r>
    </w:p>
    <w:p w14:paraId="5D9FCA51" w14:textId="01530EAD" w:rsidR="00BD006D" w:rsidRPr="00E9020C" w:rsidRDefault="00B36780" w:rsidP="00C916EB">
      <w:pPr>
        <w:pStyle w:val="Akapitzlist"/>
        <w:numPr>
          <w:ilvl w:val="0"/>
          <w:numId w:val="2"/>
        </w:numPr>
        <w:spacing w:after="28" w:line="249" w:lineRule="auto"/>
        <w:ind w:right="39"/>
        <w:jc w:val="both"/>
        <w:rPr>
          <w:rFonts w:ascii="Arial Narrow" w:hAnsi="Arial Narrow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>Poczta: Włocławek</w:t>
      </w:r>
    </w:p>
    <w:p w14:paraId="56216DCD" w14:textId="13123F0A" w:rsidR="00BD006D" w:rsidRPr="00E9020C" w:rsidRDefault="00D276D3" w:rsidP="00C916EB">
      <w:pPr>
        <w:pStyle w:val="Akapitzlist"/>
        <w:numPr>
          <w:ilvl w:val="0"/>
          <w:numId w:val="2"/>
        </w:numPr>
        <w:spacing w:after="30" w:line="248" w:lineRule="auto"/>
        <w:ind w:right="39"/>
        <w:jc w:val="both"/>
        <w:rPr>
          <w:rFonts w:ascii="Arial Narrow" w:hAnsi="Arial Narrow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>Numer PPE</w:t>
      </w:r>
      <w:r w:rsidR="00B36780" w:rsidRPr="00E9020C">
        <w:rPr>
          <w:rFonts w:ascii="Arial Narrow" w:eastAsia="Arial" w:hAnsi="Arial Narrow" w:cs="Arial"/>
          <w:color w:val="000000" w:themeColor="text1"/>
        </w:rPr>
        <w:t>: 59 0243 8930 3344 3833</w:t>
      </w:r>
    </w:p>
    <w:p w14:paraId="5B7E2C49" w14:textId="3FD37CAA" w:rsidR="00BD006D" w:rsidRPr="00E9020C" w:rsidRDefault="00D276D3" w:rsidP="00C916EB">
      <w:pPr>
        <w:pStyle w:val="Akapitzlist"/>
        <w:numPr>
          <w:ilvl w:val="0"/>
          <w:numId w:val="2"/>
        </w:numPr>
        <w:spacing w:after="30" w:line="248" w:lineRule="auto"/>
        <w:ind w:right="39"/>
        <w:jc w:val="both"/>
        <w:rPr>
          <w:rFonts w:ascii="Arial Narrow" w:hAnsi="Arial Narrow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>Parametry dystrybucyjne</w:t>
      </w:r>
      <w:r w:rsidR="00B36780" w:rsidRPr="00E9020C">
        <w:rPr>
          <w:rFonts w:ascii="Arial Narrow" w:eastAsia="Arial" w:hAnsi="Arial Narrow" w:cs="Arial"/>
          <w:color w:val="000000" w:themeColor="text1"/>
        </w:rPr>
        <w:t xml:space="preserve">: Moc umowna: 100 </w:t>
      </w:r>
      <w:r w:rsidR="00BD01CE" w:rsidRPr="00E9020C">
        <w:rPr>
          <w:rFonts w:ascii="Arial Narrow" w:eastAsia="Arial" w:hAnsi="Arial Narrow" w:cs="Arial"/>
          <w:color w:val="000000" w:themeColor="text1"/>
        </w:rPr>
        <w:t>kW</w:t>
      </w:r>
    </w:p>
    <w:p w14:paraId="1275CC0E" w14:textId="39508557" w:rsidR="00BD006D" w:rsidRPr="00E9020C" w:rsidRDefault="00D276D3" w:rsidP="00C916EB">
      <w:pPr>
        <w:pStyle w:val="Akapitzlist"/>
        <w:numPr>
          <w:ilvl w:val="0"/>
          <w:numId w:val="2"/>
        </w:numPr>
        <w:spacing w:after="28" w:line="249" w:lineRule="auto"/>
        <w:ind w:right="39"/>
        <w:jc w:val="both"/>
        <w:rPr>
          <w:rFonts w:ascii="Arial Narrow" w:hAnsi="Arial Narrow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>Szacunkowe zużycie energii elektrycznej w strefach</w:t>
      </w:r>
      <w:r w:rsidR="00BD01CE" w:rsidRPr="00E9020C">
        <w:rPr>
          <w:rFonts w:ascii="Arial Narrow" w:eastAsia="Arial" w:hAnsi="Arial Narrow" w:cs="Arial"/>
          <w:color w:val="000000" w:themeColor="text1"/>
        </w:rPr>
        <w:t>: Strefa I</w:t>
      </w:r>
      <w:r w:rsidR="0058722D" w:rsidRPr="00E9020C">
        <w:rPr>
          <w:rFonts w:ascii="Arial Narrow" w:eastAsia="Arial" w:hAnsi="Arial Narrow" w:cs="Arial"/>
          <w:color w:val="000000" w:themeColor="text1"/>
        </w:rPr>
        <w:t>: 335416</w:t>
      </w:r>
      <w:r w:rsidR="00BD01CE" w:rsidRPr="00E9020C">
        <w:rPr>
          <w:rFonts w:ascii="Arial Narrow" w:eastAsia="Arial" w:hAnsi="Arial Narrow" w:cs="Arial"/>
          <w:color w:val="000000" w:themeColor="text1"/>
        </w:rPr>
        <w:t xml:space="preserve"> kWh, Strefa II: 0, Strefa III: 0</w:t>
      </w:r>
    </w:p>
    <w:p w14:paraId="4C21FF44" w14:textId="2E7B708F" w:rsidR="00BD006D" w:rsidRPr="00E9020C" w:rsidRDefault="00D276D3" w:rsidP="00C916EB">
      <w:pPr>
        <w:pStyle w:val="Akapitzlist"/>
        <w:numPr>
          <w:ilvl w:val="0"/>
          <w:numId w:val="2"/>
        </w:numPr>
        <w:spacing w:after="30" w:line="248" w:lineRule="auto"/>
        <w:ind w:right="39"/>
        <w:jc w:val="both"/>
        <w:rPr>
          <w:rFonts w:ascii="Arial Narrow" w:hAnsi="Arial Narrow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>Rodzaj aktualnej umowy</w:t>
      </w:r>
      <w:r w:rsidR="00BD01CE" w:rsidRPr="00E9020C">
        <w:rPr>
          <w:rFonts w:ascii="Arial Narrow" w:eastAsia="Arial" w:hAnsi="Arial Narrow" w:cs="Arial"/>
          <w:color w:val="000000" w:themeColor="text1"/>
        </w:rPr>
        <w:t>: kompleksowa, grupa taryfowa: B21</w:t>
      </w:r>
    </w:p>
    <w:p w14:paraId="4F4AA6CC" w14:textId="2910F66E" w:rsidR="00BD006D" w:rsidRPr="00E9020C" w:rsidRDefault="00D276D3" w:rsidP="00C916EB">
      <w:pPr>
        <w:pStyle w:val="Akapitzlist"/>
        <w:numPr>
          <w:ilvl w:val="0"/>
          <w:numId w:val="2"/>
        </w:numPr>
        <w:spacing w:after="28" w:line="249" w:lineRule="auto"/>
        <w:ind w:right="39"/>
        <w:jc w:val="both"/>
        <w:rPr>
          <w:rFonts w:ascii="Arial Narrow" w:hAnsi="Arial Narrow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>Obecnego sprzedawcę energii</w:t>
      </w:r>
      <w:r w:rsidR="00BD01CE" w:rsidRPr="00E9020C">
        <w:rPr>
          <w:rFonts w:ascii="Arial Narrow" w:eastAsia="Arial" w:hAnsi="Arial Narrow" w:cs="Arial"/>
          <w:color w:val="000000" w:themeColor="text1"/>
        </w:rPr>
        <w:t>: Energa Obrót S</w:t>
      </w:r>
      <w:r w:rsidR="00840890" w:rsidRPr="00E9020C">
        <w:rPr>
          <w:rFonts w:ascii="Arial Narrow" w:eastAsia="Arial" w:hAnsi="Arial Narrow" w:cs="Arial"/>
          <w:color w:val="000000" w:themeColor="text1"/>
        </w:rPr>
        <w:t>.</w:t>
      </w:r>
      <w:r w:rsidR="00BD01CE" w:rsidRPr="00E9020C">
        <w:rPr>
          <w:rFonts w:ascii="Arial Narrow" w:eastAsia="Arial" w:hAnsi="Arial Narrow" w:cs="Arial"/>
          <w:color w:val="000000" w:themeColor="text1"/>
        </w:rPr>
        <w:t>A</w:t>
      </w:r>
      <w:r w:rsidR="00840890" w:rsidRPr="00E9020C">
        <w:rPr>
          <w:rFonts w:ascii="Arial Narrow" w:eastAsia="Arial" w:hAnsi="Arial Narrow" w:cs="Arial"/>
          <w:color w:val="000000" w:themeColor="text1"/>
        </w:rPr>
        <w:t>.</w:t>
      </w:r>
    </w:p>
    <w:p w14:paraId="4684A99F" w14:textId="77777777" w:rsidR="00840890" w:rsidRPr="00E9020C" w:rsidRDefault="00D276D3" w:rsidP="00C916EB">
      <w:pPr>
        <w:pStyle w:val="Akapitzlist"/>
        <w:numPr>
          <w:ilvl w:val="0"/>
          <w:numId w:val="2"/>
        </w:numPr>
        <w:spacing w:after="28" w:line="249" w:lineRule="auto"/>
        <w:ind w:right="39"/>
        <w:jc w:val="both"/>
        <w:rPr>
          <w:rFonts w:ascii="Arial Narrow" w:hAnsi="Arial Narrow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>OSD</w:t>
      </w:r>
      <w:r w:rsidR="00840890" w:rsidRPr="00E9020C">
        <w:rPr>
          <w:rFonts w:ascii="Arial Narrow" w:eastAsia="Arial" w:hAnsi="Arial Narrow" w:cs="Arial"/>
          <w:color w:val="000000" w:themeColor="text1"/>
        </w:rPr>
        <w:t xml:space="preserve">: </w:t>
      </w:r>
      <w:r w:rsidR="00840890" w:rsidRPr="00E9020C">
        <w:rPr>
          <w:rFonts w:ascii="Arial Narrow" w:hAnsi="Arial Narrow"/>
          <w:color w:val="000000" w:themeColor="text1"/>
        </w:rPr>
        <w:t xml:space="preserve">Energa Operator S.A. </w:t>
      </w:r>
    </w:p>
    <w:p w14:paraId="268A33DA" w14:textId="5FD9A9F1" w:rsidR="00BD006D" w:rsidRPr="00E9020C" w:rsidRDefault="00D276D3" w:rsidP="00C916EB">
      <w:pPr>
        <w:pStyle w:val="Akapitzlist"/>
        <w:numPr>
          <w:ilvl w:val="0"/>
          <w:numId w:val="2"/>
        </w:numPr>
        <w:spacing w:after="28" w:line="249" w:lineRule="auto"/>
        <w:ind w:right="39"/>
        <w:jc w:val="both"/>
        <w:rPr>
          <w:rFonts w:ascii="Arial Narrow" w:hAnsi="Arial Narrow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>Nazw</w:t>
      </w:r>
      <w:r w:rsidR="00840890" w:rsidRPr="00E9020C">
        <w:rPr>
          <w:rFonts w:ascii="Arial Narrow" w:eastAsia="Arial" w:hAnsi="Arial Narrow" w:cs="Arial"/>
          <w:color w:val="000000" w:themeColor="text1"/>
        </w:rPr>
        <w:t>a</w:t>
      </w:r>
      <w:r w:rsidRPr="00E9020C">
        <w:rPr>
          <w:rFonts w:ascii="Arial Narrow" w:eastAsia="Arial" w:hAnsi="Arial Narrow" w:cs="Arial"/>
          <w:color w:val="000000" w:themeColor="text1"/>
        </w:rPr>
        <w:t xml:space="preserve"> Nabywcy</w:t>
      </w:r>
      <w:r w:rsidR="00840890" w:rsidRPr="00E9020C">
        <w:rPr>
          <w:rFonts w:ascii="Arial Narrow" w:eastAsia="Arial" w:hAnsi="Arial Narrow" w:cs="Arial"/>
          <w:color w:val="000000" w:themeColor="text1"/>
        </w:rPr>
        <w:t>: Miejskie Budownictwo Mieszkaniowe Sp. z o.o.</w:t>
      </w:r>
    </w:p>
    <w:p w14:paraId="4D6F224A" w14:textId="66CAF167" w:rsidR="00AF3EFD" w:rsidRPr="00E9020C" w:rsidRDefault="00D276D3" w:rsidP="00C916EB">
      <w:pPr>
        <w:pStyle w:val="Akapitzlist"/>
        <w:numPr>
          <w:ilvl w:val="0"/>
          <w:numId w:val="2"/>
        </w:numPr>
        <w:spacing w:after="30" w:line="248" w:lineRule="auto"/>
        <w:ind w:right="39"/>
        <w:jc w:val="both"/>
        <w:rPr>
          <w:rFonts w:ascii="Arial Narrow" w:hAnsi="Arial Narrow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>Nazwę odbiorcy i adres do przesyłania faktur</w:t>
      </w:r>
      <w:r w:rsidR="00840890" w:rsidRPr="00E9020C">
        <w:rPr>
          <w:rFonts w:ascii="Arial Narrow" w:eastAsia="Arial" w:hAnsi="Arial Narrow" w:cs="Arial"/>
          <w:color w:val="000000" w:themeColor="text1"/>
        </w:rPr>
        <w:t>: MIEJSKIE BUDOWNICTWO MIESZKANIOWE Sp. z o.o. ul. Pułaskiego 6 lok B2, 87-800 Włocławek, biuro@mbm.wloclawek.pl</w:t>
      </w:r>
    </w:p>
    <w:p w14:paraId="1EF40525" w14:textId="797B4BEB" w:rsidR="00BD006D" w:rsidRPr="00E9020C" w:rsidRDefault="00D276D3" w:rsidP="00C916EB">
      <w:pPr>
        <w:pStyle w:val="Akapitzlist"/>
        <w:numPr>
          <w:ilvl w:val="0"/>
          <w:numId w:val="2"/>
        </w:numPr>
        <w:spacing w:after="30" w:line="248" w:lineRule="auto"/>
        <w:ind w:right="39"/>
        <w:jc w:val="both"/>
        <w:rPr>
          <w:rFonts w:ascii="Arial Narrow" w:hAnsi="Arial Narrow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>Okres dostaw</w:t>
      </w:r>
      <w:r w:rsidR="00840890" w:rsidRPr="00E9020C">
        <w:rPr>
          <w:rFonts w:ascii="Arial Narrow" w:eastAsia="Arial" w:hAnsi="Arial Narrow" w:cs="Arial"/>
          <w:color w:val="000000" w:themeColor="text1"/>
        </w:rPr>
        <w:t xml:space="preserve">: od dnia 01 stycznia 2023 roku do dnia 31.12.2023  </w:t>
      </w:r>
    </w:p>
    <w:p w14:paraId="56BD9700" w14:textId="129BF009" w:rsidR="00BD006D" w:rsidRPr="00E9020C" w:rsidRDefault="00BD006D">
      <w:pPr>
        <w:spacing w:after="0"/>
        <w:ind w:left="2"/>
        <w:rPr>
          <w:rFonts w:ascii="Arial Narrow" w:hAnsi="Arial Narrow"/>
          <w:color w:val="000000" w:themeColor="text1"/>
        </w:rPr>
      </w:pPr>
    </w:p>
    <w:p w14:paraId="4256AD1F" w14:textId="183CE4DC" w:rsidR="00BD006D" w:rsidRPr="00E9020C" w:rsidRDefault="00C916EB" w:rsidP="00C916EB">
      <w:pPr>
        <w:pStyle w:val="Akapitzlist"/>
        <w:spacing w:after="29" w:line="249" w:lineRule="auto"/>
        <w:ind w:left="0" w:right="33"/>
        <w:jc w:val="both"/>
        <w:rPr>
          <w:rFonts w:ascii="Arial Narrow" w:hAnsi="Arial Narrow"/>
          <w:b/>
          <w:color w:val="000000" w:themeColor="text1"/>
        </w:rPr>
      </w:pPr>
      <w:r w:rsidRPr="00E9020C">
        <w:rPr>
          <w:rFonts w:ascii="Arial Narrow" w:eastAsia="Arial" w:hAnsi="Arial Narrow" w:cs="Arial"/>
          <w:b/>
          <w:color w:val="000000" w:themeColor="text1"/>
        </w:rPr>
        <w:t xml:space="preserve">5. </w:t>
      </w:r>
      <w:r w:rsidR="00E23FE2" w:rsidRPr="00E9020C">
        <w:rPr>
          <w:rFonts w:ascii="Arial Narrow" w:eastAsia="Arial" w:hAnsi="Arial Narrow" w:cs="Arial"/>
          <w:b/>
          <w:color w:val="000000" w:themeColor="text1"/>
        </w:rPr>
        <w:t>Dane informacyjne</w:t>
      </w:r>
    </w:p>
    <w:p w14:paraId="123C5B1A" w14:textId="01C12E5C" w:rsidR="00BD006D" w:rsidRPr="00E9020C" w:rsidRDefault="00D276D3" w:rsidP="00C916EB">
      <w:pPr>
        <w:numPr>
          <w:ilvl w:val="0"/>
          <w:numId w:val="1"/>
        </w:numPr>
        <w:spacing w:after="28" w:line="249" w:lineRule="auto"/>
        <w:ind w:right="39"/>
        <w:jc w:val="both"/>
        <w:rPr>
          <w:rFonts w:ascii="Arial Narrow" w:hAnsi="Arial Narrow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 xml:space="preserve">Ilość układów pomiarowych rozliczających zużytą energię elektryczną – </w:t>
      </w:r>
      <w:r w:rsidR="00840890" w:rsidRPr="00E9020C">
        <w:rPr>
          <w:rFonts w:ascii="Arial Narrow" w:eastAsia="Arial" w:hAnsi="Arial Narrow" w:cs="Arial"/>
          <w:color w:val="000000" w:themeColor="text1"/>
        </w:rPr>
        <w:t>1</w:t>
      </w:r>
      <w:r w:rsidRPr="00E9020C">
        <w:rPr>
          <w:rFonts w:ascii="Arial Narrow" w:eastAsia="Arial" w:hAnsi="Arial Narrow" w:cs="Arial"/>
          <w:color w:val="000000" w:themeColor="text1"/>
        </w:rPr>
        <w:t xml:space="preserve"> sztuk. </w:t>
      </w:r>
    </w:p>
    <w:p w14:paraId="307FA9F2" w14:textId="18D9A704" w:rsidR="00BD006D" w:rsidRPr="00E9020C" w:rsidRDefault="00D276D3" w:rsidP="00C916EB">
      <w:pPr>
        <w:numPr>
          <w:ilvl w:val="0"/>
          <w:numId w:val="1"/>
        </w:numPr>
        <w:spacing w:after="28" w:line="249" w:lineRule="auto"/>
        <w:ind w:right="39"/>
        <w:jc w:val="both"/>
        <w:rPr>
          <w:rFonts w:ascii="Arial Narrow" w:hAnsi="Arial Narrow"/>
          <w:color w:val="000000" w:themeColor="text1"/>
        </w:rPr>
      </w:pPr>
      <w:bookmarkStart w:id="3" w:name="_Hlk115945348"/>
      <w:r w:rsidRPr="00E9020C">
        <w:rPr>
          <w:rFonts w:ascii="Arial Narrow" w:eastAsia="Arial" w:hAnsi="Arial Narrow" w:cs="Arial"/>
          <w:color w:val="000000" w:themeColor="text1"/>
        </w:rPr>
        <w:t xml:space="preserve">Szczegółowy opis punktów poboru (PPE) </w:t>
      </w:r>
      <w:proofErr w:type="spellStart"/>
      <w:r w:rsidR="00840890" w:rsidRPr="00E9020C">
        <w:rPr>
          <w:rFonts w:ascii="Arial Narrow" w:eastAsia="Arial" w:hAnsi="Arial Narrow" w:cs="Arial"/>
          <w:color w:val="000000" w:themeColor="text1"/>
        </w:rPr>
        <w:t>j.w</w:t>
      </w:r>
      <w:proofErr w:type="spellEnd"/>
      <w:r w:rsidR="006259E4" w:rsidRPr="00E9020C">
        <w:rPr>
          <w:rFonts w:ascii="Arial Narrow" w:eastAsia="Arial" w:hAnsi="Arial Narrow" w:cs="Arial"/>
          <w:color w:val="000000" w:themeColor="text1"/>
        </w:rPr>
        <w:t>.</w:t>
      </w:r>
    </w:p>
    <w:bookmarkEnd w:id="3"/>
    <w:p w14:paraId="2CA776EA" w14:textId="57BFEB68" w:rsidR="00BD006D" w:rsidRPr="00E9020C" w:rsidRDefault="00D276D3" w:rsidP="00C916EB">
      <w:pPr>
        <w:numPr>
          <w:ilvl w:val="0"/>
          <w:numId w:val="1"/>
        </w:numPr>
        <w:spacing w:after="28" w:line="249" w:lineRule="auto"/>
        <w:ind w:right="39"/>
        <w:jc w:val="both"/>
        <w:rPr>
          <w:rFonts w:ascii="Arial Narrow" w:hAnsi="Arial Narrow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lastRenderedPageBreak/>
        <w:t xml:space="preserve">Szacunkowe zużycie energii elektrycznej w okresie obowiązywania umowy – </w:t>
      </w:r>
      <w:r w:rsidR="0058722D" w:rsidRPr="00E9020C">
        <w:rPr>
          <w:rFonts w:ascii="Arial Narrow" w:eastAsia="Arial" w:hAnsi="Arial Narrow" w:cs="Arial"/>
          <w:color w:val="000000" w:themeColor="text1"/>
        </w:rPr>
        <w:t>335416</w:t>
      </w:r>
      <w:r w:rsidR="00840890" w:rsidRPr="00E9020C">
        <w:rPr>
          <w:rFonts w:ascii="Arial Narrow" w:eastAsia="Arial" w:hAnsi="Arial Narrow" w:cs="Arial"/>
          <w:color w:val="000000" w:themeColor="text1"/>
        </w:rPr>
        <w:t xml:space="preserve"> </w:t>
      </w:r>
      <w:r w:rsidRPr="00E9020C">
        <w:rPr>
          <w:rFonts w:ascii="Arial Narrow" w:eastAsia="Arial" w:hAnsi="Arial Narrow" w:cs="Arial"/>
          <w:color w:val="000000" w:themeColor="text1"/>
        </w:rPr>
        <w:t xml:space="preserve">kWh, z tego: </w:t>
      </w:r>
    </w:p>
    <w:p w14:paraId="2F89CC38" w14:textId="18217B70" w:rsidR="00BD006D" w:rsidRPr="00E9020C" w:rsidRDefault="00D276D3" w:rsidP="00C916EB">
      <w:pPr>
        <w:pStyle w:val="Akapitzlist"/>
        <w:numPr>
          <w:ilvl w:val="0"/>
          <w:numId w:val="1"/>
        </w:numPr>
        <w:spacing w:after="30" w:line="248" w:lineRule="auto"/>
        <w:ind w:right="35"/>
        <w:jc w:val="both"/>
        <w:rPr>
          <w:rFonts w:ascii="Arial Narrow" w:hAnsi="Arial Narrow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 xml:space="preserve">Strefa I: </w:t>
      </w:r>
      <w:r w:rsidR="0058722D" w:rsidRPr="00E9020C">
        <w:rPr>
          <w:rFonts w:ascii="Arial Narrow" w:eastAsia="Arial" w:hAnsi="Arial Narrow" w:cs="Arial"/>
          <w:color w:val="000000" w:themeColor="text1"/>
        </w:rPr>
        <w:t>335416</w:t>
      </w:r>
      <w:r w:rsidR="00840890" w:rsidRPr="00E9020C">
        <w:rPr>
          <w:rFonts w:ascii="Arial Narrow" w:eastAsia="Arial" w:hAnsi="Arial Narrow" w:cs="Arial"/>
          <w:color w:val="000000" w:themeColor="text1"/>
        </w:rPr>
        <w:t xml:space="preserve"> </w:t>
      </w:r>
      <w:r w:rsidRPr="00E9020C">
        <w:rPr>
          <w:rFonts w:ascii="Arial Narrow" w:eastAsia="Arial" w:hAnsi="Arial Narrow" w:cs="Arial"/>
          <w:color w:val="000000" w:themeColor="text1"/>
        </w:rPr>
        <w:t xml:space="preserve">kWh </w:t>
      </w:r>
    </w:p>
    <w:p w14:paraId="546C58AF" w14:textId="674B892F" w:rsidR="00BD006D" w:rsidRPr="00E9020C" w:rsidRDefault="00D276D3" w:rsidP="00C916EB">
      <w:pPr>
        <w:pStyle w:val="Akapitzlist"/>
        <w:numPr>
          <w:ilvl w:val="0"/>
          <w:numId w:val="1"/>
        </w:numPr>
        <w:spacing w:after="30" w:line="248" w:lineRule="auto"/>
        <w:ind w:right="35"/>
        <w:jc w:val="both"/>
        <w:rPr>
          <w:rFonts w:ascii="Arial Narrow" w:hAnsi="Arial Narrow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 xml:space="preserve">Strefa II: </w:t>
      </w:r>
      <w:r w:rsidR="00840890" w:rsidRPr="00E9020C">
        <w:rPr>
          <w:rFonts w:ascii="Arial Narrow" w:eastAsia="Arial" w:hAnsi="Arial Narrow" w:cs="Arial"/>
          <w:color w:val="000000" w:themeColor="text1"/>
        </w:rPr>
        <w:t>0</w:t>
      </w:r>
      <w:r w:rsidRPr="00E9020C">
        <w:rPr>
          <w:rFonts w:ascii="Arial Narrow" w:eastAsia="Arial" w:hAnsi="Arial Narrow" w:cs="Arial"/>
          <w:color w:val="000000" w:themeColor="text1"/>
        </w:rPr>
        <w:t xml:space="preserve"> kWh </w:t>
      </w:r>
    </w:p>
    <w:p w14:paraId="5B931155" w14:textId="7D2ACB5B" w:rsidR="00BD006D" w:rsidRPr="00E9020C" w:rsidRDefault="00D276D3" w:rsidP="00C916EB">
      <w:pPr>
        <w:pStyle w:val="Akapitzlist"/>
        <w:numPr>
          <w:ilvl w:val="0"/>
          <w:numId w:val="1"/>
        </w:numPr>
        <w:spacing w:after="30" w:line="248" w:lineRule="auto"/>
        <w:ind w:right="35"/>
        <w:jc w:val="both"/>
        <w:rPr>
          <w:rFonts w:ascii="Arial Narrow" w:hAnsi="Arial Narrow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 xml:space="preserve">Strefa III: </w:t>
      </w:r>
      <w:r w:rsidR="00840890" w:rsidRPr="00E9020C">
        <w:rPr>
          <w:rFonts w:ascii="Arial Narrow" w:eastAsia="Arial" w:hAnsi="Arial Narrow" w:cs="Arial"/>
          <w:color w:val="000000" w:themeColor="text1"/>
        </w:rPr>
        <w:t>0</w:t>
      </w:r>
      <w:r w:rsidRPr="00E9020C">
        <w:rPr>
          <w:rFonts w:ascii="Arial Narrow" w:eastAsia="Arial" w:hAnsi="Arial Narrow" w:cs="Arial"/>
          <w:color w:val="000000" w:themeColor="text1"/>
        </w:rPr>
        <w:t xml:space="preserve"> kWh </w:t>
      </w:r>
    </w:p>
    <w:p w14:paraId="340CC8F7" w14:textId="0C233A53" w:rsidR="00BD006D" w:rsidRPr="00E9020C" w:rsidRDefault="00D276D3" w:rsidP="00C916EB">
      <w:pPr>
        <w:pStyle w:val="Akapitzlist"/>
        <w:numPr>
          <w:ilvl w:val="0"/>
          <w:numId w:val="1"/>
        </w:numPr>
        <w:spacing w:after="28" w:line="249" w:lineRule="auto"/>
        <w:ind w:right="39"/>
        <w:jc w:val="both"/>
        <w:rPr>
          <w:rFonts w:ascii="Arial Narrow" w:hAnsi="Arial Narrow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>Powyższe dane mają charakter orientacyjny. Wykonawca winien uwzględnić możliwe wahania poboru energii elektrycznej na poziomi</w:t>
      </w:r>
      <w:r w:rsidR="00C86E79" w:rsidRPr="00E9020C">
        <w:rPr>
          <w:rFonts w:ascii="Arial Narrow" w:eastAsia="Arial" w:hAnsi="Arial Narrow" w:cs="Arial"/>
          <w:color w:val="000000" w:themeColor="text1"/>
        </w:rPr>
        <w:t>e.</w:t>
      </w:r>
      <w:r w:rsidRPr="00E9020C">
        <w:rPr>
          <w:rFonts w:ascii="Arial Narrow" w:eastAsia="Arial" w:hAnsi="Arial Narrow" w:cs="Arial"/>
          <w:color w:val="000000" w:themeColor="text1"/>
        </w:rPr>
        <w:t xml:space="preserve"> Zmniejszenie lub zwiększenie ilości energii elektrycznej nie pociąga dla Zamawiającego (odbiorców) żadnych konsekwencji, poza koniecznością dokonania zapłaty za faktycznie pobraną ilość energii oraz usługi </w:t>
      </w:r>
      <w:proofErr w:type="spellStart"/>
      <w:r w:rsidRPr="00E9020C">
        <w:rPr>
          <w:rFonts w:ascii="Arial Narrow" w:eastAsia="Arial" w:hAnsi="Arial Narrow" w:cs="Arial"/>
          <w:color w:val="000000" w:themeColor="text1"/>
        </w:rPr>
        <w:t>przesyłu</w:t>
      </w:r>
      <w:proofErr w:type="spellEnd"/>
      <w:r w:rsidRPr="00E9020C">
        <w:rPr>
          <w:rFonts w:ascii="Arial Narrow" w:eastAsia="Arial" w:hAnsi="Arial Narrow" w:cs="Arial"/>
          <w:color w:val="000000" w:themeColor="text1"/>
        </w:rPr>
        <w:t xml:space="preserve"> zgodnie z obowiązującą Taryfą OSD. </w:t>
      </w:r>
    </w:p>
    <w:p w14:paraId="69867276" w14:textId="5D7F8A2E" w:rsidR="00BD006D" w:rsidRPr="00E9020C" w:rsidRDefault="00D276D3" w:rsidP="00C916EB">
      <w:pPr>
        <w:numPr>
          <w:ilvl w:val="0"/>
          <w:numId w:val="1"/>
        </w:numPr>
        <w:spacing w:after="30" w:line="248" w:lineRule="auto"/>
        <w:ind w:right="39"/>
        <w:jc w:val="both"/>
        <w:rPr>
          <w:rFonts w:ascii="Arial Narrow" w:hAnsi="Arial Narrow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>W obiek</w:t>
      </w:r>
      <w:r w:rsidR="006259E4" w:rsidRPr="00E9020C">
        <w:rPr>
          <w:rFonts w:ascii="Arial Narrow" w:eastAsia="Arial" w:hAnsi="Arial Narrow" w:cs="Arial"/>
          <w:color w:val="000000" w:themeColor="text1"/>
        </w:rPr>
        <w:t>cie</w:t>
      </w:r>
      <w:r w:rsidRPr="00E9020C">
        <w:rPr>
          <w:rFonts w:ascii="Arial Narrow" w:eastAsia="Arial" w:hAnsi="Arial Narrow" w:cs="Arial"/>
          <w:color w:val="000000" w:themeColor="text1"/>
        </w:rPr>
        <w:t xml:space="preserve"> Zamawiającego zamontowana jest </w:t>
      </w:r>
      <w:proofErr w:type="spellStart"/>
      <w:r w:rsidRPr="00E9020C">
        <w:rPr>
          <w:rFonts w:ascii="Arial Narrow" w:eastAsia="Arial" w:hAnsi="Arial Narrow" w:cs="Arial"/>
          <w:color w:val="000000" w:themeColor="text1"/>
        </w:rPr>
        <w:t>Mikroinstalacja</w:t>
      </w:r>
      <w:proofErr w:type="spellEnd"/>
      <w:r w:rsidRPr="00E9020C">
        <w:rPr>
          <w:rFonts w:ascii="Arial Narrow" w:eastAsia="Arial" w:hAnsi="Arial Narrow" w:cs="Arial"/>
          <w:color w:val="000000" w:themeColor="text1"/>
        </w:rPr>
        <w:t xml:space="preserve"> </w:t>
      </w:r>
      <w:r w:rsidR="001A3362" w:rsidRPr="00E9020C">
        <w:rPr>
          <w:rFonts w:ascii="Arial Narrow" w:eastAsia="Arial" w:hAnsi="Arial Narrow" w:cs="Arial"/>
          <w:color w:val="000000" w:themeColor="text1"/>
        </w:rPr>
        <w:t xml:space="preserve">o mocy 49,98 </w:t>
      </w:r>
      <w:proofErr w:type="spellStart"/>
      <w:r w:rsidR="001A3362" w:rsidRPr="00E9020C">
        <w:rPr>
          <w:rFonts w:ascii="Arial Narrow" w:eastAsia="Arial" w:hAnsi="Arial Narrow" w:cs="Arial"/>
          <w:color w:val="000000" w:themeColor="text1"/>
        </w:rPr>
        <w:t>kWp</w:t>
      </w:r>
      <w:proofErr w:type="spellEnd"/>
      <w:r w:rsidRPr="00E9020C">
        <w:rPr>
          <w:rFonts w:ascii="Arial Narrow" w:eastAsia="Arial" w:hAnsi="Arial Narrow" w:cs="Arial"/>
          <w:color w:val="000000" w:themeColor="text1"/>
        </w:rPr>
        <w:t>– panele fotowoltaiczne, a odbiorc</w:t>
      </w:r>
      <w:r w:rsidR="006259E4" w:rsidRPr="00E9020C">
        <w:rPr>
          <w:rFonts w:ascii="Arial Narrow" w:eastAsia="Arial" w:hAnsi="Arial Narrow" w:cs="Arial"/>
          <w:color w:val="000000" w:themeColor="text1"/>
        </w:rPr>
        <w:t>a</w:t>
      </w:r>
      <w:r w:rsidRPr="00E9020C">
        <w:rPr>
          <w:rFonts w:ascii="Arial Narrow" w:eastAsia="Arial" w:hAnsi="Arial Narrow" w:cs="Arial"/>
          <w:color w:val="000000" w:themeColor="text1"/>
        </w:rPr>
        <w:t xml:space="preserve"> m</w:t>
      </w:r>
      <w:r w:rsidR="006259E4" w:rsidRPr="00E9020C">
        <w:rPr>
          <w:rFonts w:ascii="Arial Narrow" w:eastAsia="Arial" w:hAnsi="Arial Narrow" w:cs="Arial"/>
          <w:color w:val="000000" w:themeColor="text1"/>
        </w:rPr>
        <w:t>a</w:t>
      </w:r>
      <w:r w:rsidRPr="00E9020C">
        <w:rPr>
          <w:rFonts w:ascii="Arial Narrow" w:eastAsia="Arial" w:hAnsi="Arial Narrow" w:cs="Arial"/>
          <w:color w:val="000000" w:themeColor="text1"/>
        </w:rPr>
        <w:t xml:space="preserve"> status Prosumenta. Wszystkie </w:t>
      </w:r>
      <w:proofErr w:type="spellStart"/>
      <w:r w:rsidRPr="00E9020C">
        <w:rPr>
          <w:rFonts w:ascii="Arial Narrow" w:eastAsia="Arial" w:hAnsi="Arial Narrow" w:cs="Arial"/>
          <w:color w:val="000000" w:themeColor="text1"/>
        </w:rPr>
        <w:t>mikroinstalacje</w:t>
      </w:r>
      <w:proofErr w:type="spellEnd"/>
      <w:r w:rsidRPr="00E9020C">
        <w:rPr>
          <w:rFonts w:ascii="Arial Narrow" w:eastAsia="Arial" w:hAnsi="Arial Narrow" w:cs="Arial"/>
          <w:color w:val="000000" w:themeColor="text1"/>
        </w:rPr>
        <w:t xml:space="preserve"> zostały zgłoszone OSD przed dniem 31 marca 2022 roku. </w:t>
      </w:r>
    </w:p>
    <w:p w14:paraId="08FC89E0" w14:textId="77777777" w:rsidR="00D33204" w:rsidRPr="00E9020C" w:rsidRDefault="00D276D3" w:rsidP="00C916EB">
      <w:pPr>
        <w:numPr>
          <w:ilvl w:val="0"/>
          <w:numId w:val="1"/>
        </w:numPr>
        <w:spacing w:after="30" w:line="248" w:lineRule="auto"/>
        <w:ind w:right="39"/>
        <w:jc w:val="both"/>
        <w:rPr>
          <w:rFonts w:ascii="Arial Narrow" w:hAnsi="Arial Narrow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 xml:space="preserve">Zamawiający zastrzega zmianę mocy umownej w trakcie trwania umowy </w:t>
      </w:r>
    </w:p>
    <w:p w14:paraId="13D778B1" w14:textId="2FA93254" w:rsidR="00BD006D" w:rsidRPr="00E9020C" w:rsidRDefault="00D276D3" w:rsidP="00C916EB">
      <w:pPr>
        <w:numPr>
          <w:ilvl w:val="0"/>
          <w:numId w:val="1"/>
        </w:numPr>
        <w:spacing w:after="30" w:line="248" w:lineRule="auto"/>
        <w:ind w:right="39"/>
        <w:jc w:val="both"/>
        <w:rPr>
          <w:rFonts w:ascii="Arial Narrow" w:hAnsi="Arial Narrow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 xml:space="preserve">Zasady rozliczeń:  </w:t>
      </w:r>
    </w:p>
    <w:p w14:paraId="4C3DE003" w14:textId="61220C63" w:rsidR="00BD006D" w:rsidRPr="00E9020C" w:rsidRDefault="00D276D3" w:rsidP="00E9020C">
      <w:pPr>
        <w:pStyle w:val="Akapitzlist"/>
        <w:numPr>
          <w:ilvl w:val="0"/>
          <w:numId w:val="1"/>
        </w:numPr>
        <w:spacing w:after="120" w:line="250" w:lineRule="auto"/>
        <w:ind w:left="714" w:right="40" w:hanging="357"/>
        <w:contextualSpacing w:val="0"/>
        <w:jc w:val="both"/>
        <w:rPr>
          <w:rFonts w:ascii="Arial Narrow" w:hAnsi="Arial Narrow"/>
          <w:color w:val="000000" w:themeColor="text1"/>
        </w:rPr>
      </w:pPr>
      <w:r w:rsidRPr="00E9020C">
        <w:rPr>
          <w:rFonts w:ascii="Arial Narrow" w:eastAsia="Arial" w:hAnsi="Arial Narrow" w:cs="Arial"/>
          <w:color w:val="000000" w:themeColor="text1"/>
        </w:rPr>
        <w:t xml:space="preserve">Rozliczenia prowadzone będą w oparciu o dane o zużyciu przekazane wykonawcy przez OSD, a Wykonawca będzie prowadził rozliczenia na zasadach określonych w obowiązujących przepisach prawa – zgodnie ze statusem Prosumenta rozliczającego się na zasadzie net </w:t>
      </w:r>
      <w:proofErr w:type="spellStart"/>
      <w:r w:rsidRPr="00E9020C">
        <w:rPr>
          <w:rFonts w:ascii="Arial Narrow" w:eastAsia="Arial" w:hAnsi="Arial Narrow" w:cs="Arial"/>
          <w:color w:val="000000" w:themeColor="text1"/>
        </w:rPr>
        <w:t>meteringu</w:t>
      </w:r>
      <w:proofErr w:type="spellEnd"/>
      <w:r w:rsidRPr="00E9020C">
        <w:rPr>
          <w:rFonts w:ascii="Arial Narrow" w:eastAsia="Arial" w:hAnsi="Arial Narrow" w:cs="Arial"/>
          <w:color w:val="000000" w:themeColor="text1"/>
        </w:rPr>
        <w:t xml:space="preserve"> (system opustowy). Wykonawca bezwzględnie, przez cały okres trwania Umowy, będzie dokonywał rozliczenia ilości energii elektrycznej wprowadzonej do sieci OSD (a wyprodukowanej w </w:t>
      </w:r>
      <w:proofErr w:type="spellStart"/>
      <w:r w:rsidRPr="00E9020C">
        <w:rPr>
          <w:rFonts w:ascii="Arial Narrow" w:eastAsia="Arial" w:hAnsi="Arial Narrow" w:cs="Arial"/>
          <w:color w:val="000000" w:themeColor="text1"/>
        </w:rPr>
        <w:t>Mikroinstalacji</w:t>
      </w:r>
      <w:proofErr w:type="spellEnd"/>
      <w:r w:rsidRPr="00E9020C">
        <w:rPr>
          <w:rFonts w:ascii="Arial Narrow" w:eastAsia="Arial" w:hAnsi="Arial Narrow" w:cs="Arial"/>
          <w:color w:val="000000" w:themeColor="text1"/>
        </w:rPr>
        <w:t xml:space="preserve">) wobec ilości energii elektrycznej pobranej z tej sieci w celu jej zużycia na potrzeby własne przez Prosumenta wytwarzającego energię elektryczną w </w:t>
      </w:r>
      <w:proofErr w:type="spellStart"/>
      <w:r w:rsidRPr="00E9020C">
        <w:rPr>
          <w:rFonts w:ascii="Arial Narrow" w:eastAsia="Arial" w:hAnsi="Arial Narrow" w:cs="Arial"/>
          <w:color w:val="000000" w:themeColor="text1"/>
        </w:rPr>
        <w:t>Mikroinstalacji</w:t>
      </w:r>
      <w:proofErr w:type="spellEnd"/>
      <w:r w:rsidRPr="00E9020C">
        <w:rPr>
          <w:rFonts w:ascii="Arial Narrow" w:eastAsia="Arial" w:hAnsi="Arial Narrow" w:cs="Arial"/>
          <w:color w:val="000000" w:themeColor="text1"/>
        </w:rPr>
        <w:t xml:space="preserve"> o łącznej mo</w:t>
      </w:r>
      <w:r w:rsidR="00E9020C">
        <w:rPr>
          <w:rFonts w:ascii="Arial Narrow" w:eastAsia="Arial" w:hAnsi="Arial Narrow" w:cs="Arial"/>
          <w:color w:val="000000" w:themeColor="text1"/>
        </w:rPr>
        <w:t>cy zainstalowanej elektrycznej.</w:t>
      </w:r>
    </w:p>
    <w:p w14:paraId="206CEDE7" w14:textId="373979A7" w:rsidR="003F3390" w:rsidRPr="00E9020C" w:rsidRDefault="003F3390" w:rsidP="00E9020C">
      <w:pPr>
        <w:spacing w:after="0" w:line="249" w:lineRule="auto"/>
        <w:ind w:left="-13" w:right="39"/>
        <w:jc w:val="both"/>
        <w:rPr>
          <w:rFonts w:ascii="Arial Narrow" w:hAnsi="Arial Narrow"/>
          <w:color w:val="000000" w:themeColor="text1"/>
        </w:rPr>
      </w:pPr>
    </w:p>
    <w:sectPr w:rsidR="003F3390" w:rsidRPr="00E9020C">
      <w:headerReference w:type="default" r:id="rId8"/>
      <w:footerReference w:type="even" r:id="rId9"/>
      <w:footerReference w:type="default" r:id="rId10"/>
      <w:footerReference w:type="first" r:id="rId11"/>
      <w:footnotePr>
        <w:numRestart w:val="eachPage"/>
      </w:footnotePr>
      <w:pgSz w:w="11906" w:h="16838"/>
      <w:pgMar w:top="1461" w:right="1366" w:bottom="1418" w:left="1414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B1E9FE" w14:textId="77777777" w:rsidR="00F83F4C" w:rsidRDefault="00D276D3">
      <w:pPr>
        <w:spacing w:after="0" w:line="240" w:lineRule="auto"/>
      </w:pPr>
      <w:r>
        <w:separator/>
      </w:r>
    </w:p>
  </w:endnote>
  <w:endnote w:type="continuationSeparator" w:id="0">
    <w:p w14:paraId="74632FD4" w14:textId="77777777" w:rsidR="00F83F4C" w:rsidRDefault="00D27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0A920B" w14:textId="77777777" w:rsidR="00BD006D" w:rsidRDefault="00D276D3">
    <w:pPr>
      <w:spacing w:after="58"/>
      <w:ind w:right="50"/>
      <w:jc w:val="center"/>
    </w:pPr>
    <w:r>
      <w:rPr>
        <w:rFonts w:ascii="Arial" w:eastAsia="Arial" w:hAnsi="Arial" w:cs="Arial"/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 z </w:t>
    </w:r>
    <w:fldSimple w:instr=" NUMPAGES   \* MERGEFORMAT ">
      <w:r>
        <w:rPr>
          <w:rFonts w:ascii="Arial" w:eastAsia="Arial" w:hAnsi="Arial" w:cs="Arial"/>
          <w:sz w:val="16"/>
        </w:rPr>
        <w:t>22</w:t>
      </w:r>
    </w:fldSimple>
    <w:r>
      <w:rPr>
        <w:rFonts w:ascii="Arial" w:eastAsia="Arial" w:hAnsi="Arial" w:cs="Arial"/>
        <w:sz w:val="16"/>
      </w:rPr>
      <w:t xml:space="preserve"> </w:t>
    </w:r>
  </w:p>
  <w:p w14:paraId="35918B1C" w14:textId="77777777" w:rsidR="00BD006D" w:rsidRDefault="00D276D3">
    <w:pPr>
      <w:spacing w:after="0"/>
      <w:ind w:left="2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33CC0A" w14:textId="77777777" w:rsidR="00BD006D" w:rsidRDefault="00D276D3">
    <w:pPr>
      <w:spacing w:after="58"/>
      <w:ind w:right="50"/>
      <w:jc w:val="center"/>
    </w:pPr>
    <w:r>
      <w:rPr>
        <w:rFonts w:ascii="Arial" w:eastAsia="Arial" w:hAnsi="Arial" w:cs="Arial"/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4C0549" w:rsidRPr="004C0549">
      <w:rPr>
        <w:rFonts w:ascii="Arial" w:eastAsia="Arial" w:hAnsi="Arial" w:cs="Arial"/>
        <w:noProof/>
        <w:sz w:val="16"/>
      </w:rPr>
      <w:t>4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 z </w:t>
    </w:r>
    <w:fldSimple w:instr=" NUMPAGES   \* MERGEFORMAT ">
      <w:r w:rsidR="004C0549" w:rsidRPr="004C0549">
        <w:rPr>
          <w:rFonts w:ascii="Arial" w:eastAsia="Arial" w:hAnsi="Arial" w:cs="Arial"/>
          <w:noProof/>
          <w:sz w:val="16"/>
        </w:rPr>
        <w:t>4</w:t>
      </w:r>
    </w:fldSimple>
    <w:r>
      <w:rPr>
        <w:rFonts w:ascii="Arial" w:eastAsia="Arial" w:hAnsi="Arial" w:cs="Arial"/>
        <w:sz w:val="16"/>
      </w:rPr>
      <w:t xml:space="preserve"> </w:t>
    </w:r>
  </w:p>
  <w:p w14:paraId="71277039" w14:textId="77777777" w:rsidR="00BD006D" w:rsidRDefault="00D276D3">
    <w:pPr>
      <w:spacing w:after="0"/>
      <w:ind w:left="2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02988" w14:textId="77777777" w:rsidR="00BD006D" w:rsidRDefault="00D276D3">
    <w:pPr>
      <w:spacing w:after="58"/>
      <w:ind w:right="50"/>
      <w:jc w:val="center"/>
    </w:pPr>
    <w:r>
      <w:rPr>
        <w:rFonts w:ascii="Arial" w:eastAsia="Arial" w:hAnsi="Arial" w:cs="Arial"/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 z </w:t>
    </w:r>
    <w:fldSimple w:instr=" NUMPAGES   \* MERGEFORMAT ">
      <w:r>
        <w:rPr>
          <w:rFonts w:ascii="Arial" w:eastAsia="Arial" w:hAnsi="Arial" w:cs="Arial"/>
          <w:sz w:val="16"/>
        </w:rPr>
        <w:t>22</w:t>
      </w:r>
    </w:fldSimple>
    <w:r>
      <w:rPr>
        <w:rFonts w:ascii="Arial" w:eastAsia="Arial" w:hAnsi="Arial" w:cs="Arial"/>
        <w:sz w:val="16"/>
      </w:rPr>
      <w:t xml:space="preserve"> </w:t>
    </w:r>
  </w:p>
  <w:p w14:paraId="779620C4" w14:textId="77777777" w:rsidR="00BD006D" w:rsidRDefault="00D276D3">
    <w:pPr>
      <w:spacing w:after="0"/>
      <w:ind w:left="2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83385C" w14:textId="77777777" w:rsidR="00BD006D" w:rsidRDefault="00D276D3">
      <w:pPr>
        <w:spacing w:after="0"/>
        <w:ind w:left="2" w:right="12"/>
      </w:pPr>
      <w:r>
        <w:separator/>
      </w:r>
    </w:p>
  </w:footnote>
  <w:footnote w:type="continuationSeparator" w:id="0">
    <w:p w14:paraId="26CBBF43" w14:textId="77777777" w:rsidR="00BD006D" w:rsidRDefault="00D276D3">
      <w:pPr>
        <w:spacing w:after="0"/>
        <w:ind w:left="2" w:right="1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37276E" w14:textId="3BC1C466" w:rsidR="00E9020C" w:rsidRDefault="00E9020C" w:rsidP="00E9020C">
    <w:pPr>
      <w:tabs>
        <w:tab w:val="center" w:pos="4536"/>
        <w:tab w:val="right" w:pos="9072"/>
      </w:tabs>
      <w:jc w:val="center"/>
      <w:rPr>
        <w:lang w:eastAsia="ar-SA"/>
      </w:rPr>
    </w:pPr>
    <w:r>
      <w:rPr>
        <w:noProof/>
      </w:rPr>
      <w:drawing>
        <wp:inline distT="0" distB="0" distL="0" distR="0" wp14:anchorId="6ABF227B" wp14:editId="07E9CFFB">
          <wp:extent cx="2713990" cy="98107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3990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5387A"/>
    <w:multiLevelType w:val="hybridMultilevel"/>
    <w:tmpl w:val="C12C70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72A1C"/>
    <w:multiLevelType w:val="hybridMultilevel"/>
    <w:tmpl w:val="3CC80D3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3502DE"/>
    <w:multiLevelType w:val="hybridMultilevel"/>
    <w:tmpl w:val="3578B5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6FE6563"/>
    <w:multiLevelType w:val="multilevel"/>
    <w:tmpl w:val="835ABA24"/>
    <w:lvl w:ilvl="0">
      <w:start w:val="1"/>
      <w:numFmt w:val="decimal"/>
      <w:lvlText w:val="%1)"/>
      <w:lvlJc w:val="left"/>
      <w:pPr>
        <w:ind w:left="1440" w:hanging="360"/>
      </w:pPr>
      <w:rPr>
        <w:rFonts w:ascii="Arial Narrow" w:eastAsia="Calibri" w:hAnsi="Arial Narrow" w:cs="Calibri" w:hint="default"/>
        <w:color w:val="00000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3E3009C9"/>
    <w:multiLevelType w:val="hybridMultilevel"/>
    <w:tmpl w:val="4474700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7844B0F"/>
    <w:multiLevelType w:val="hybridMultilevel"/>
    <w:tmpl w:val="067E6D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8D600F"/>
    <w:multiLevelType w:val="hybridMultilevel"/>
    <w:tmpl w:val="E78EEEE6"/>
    <w:lvl w:ilvl="0" w:tplc="53904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69B251F"/>
    <w:multiLevelType w:val="hybridMultilevel"/>
    <w:tmpl w:val="81308AE6"/>
    <w:lvl w:ilvl="0" w:tplc="53904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C8C0EE0"/>
    <w:multiLevelType w:val="hybridMultilevel"/>
    <w:tmpl w:val="DA4AFF3A"/>
    <w:lvl w:ilvl="0" w:tplc="53904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39F7E65"/>
    <w:multiLevelType w:val="hybridMultilevel"/>
    <w:tmpl w:val="90F81DA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</w:num>
  <w:num w:numId="5">
    <w:abstractNumId w:val="9"/>
  </w:num>
  <w:num w:numId="6">
    <w:abstractNumId w:val="1"/>
  </w:num>
  <w:num w:numId="7">
    <w:abstractNumId w:val="8"/>
  </w:num>
  <w:num w:numId="8">
    <w:abstractNumId w:val="6"/>
  </w:num>
  <w:num w:numId="9">
    <w:abstractNumId w:val="2"/>
  </w:num>
  <w:num w:numId="10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06D"/>
    <w:rsid w:val="001A3362"/>
    <w:rsid w:val="00345E23"/>
    <w:rsid w:val="003F3390"/>
    <w:rsid w:val="0046156B"/>
    <w:rsid w:val="004C0549"/>
    <w:rsid w:val="00541244"/>
    <w:rsid w:val="00586ED0"/>
    <w:rsid w:val="0058722D"/>
    <w:rsid w:val="005A3D1B"/>
    <w:rsid w:val="00622CBE"/>
    <w:rsid w:val="006259E4"/>
    <w:rsid w:val="00641C4F"/>
    <w:rsid w:val="006632A3"/>
    <w:rsid w:val="006F136F"/>
    <w:rsid w:val="007945A7"/>
    <w:rsid w:val="007945D4"/>
    <w:rsid w:val="00840890"/>
    <w:rsid w:val="00902ACF"/>
    <w:rsid w:val="00907725"/>
    <w:rsid w:val="009B2797"/>
    <w:rsid w:val="00A9376F"/>
    <w:rsid w:val="00AA621E"/>
    <w:rsid w:val="00AF3EFD"/>
    <w:rsid w:val="00B23FD1"/>
    <w:rsid w:val="00B36780"/>
    <w:rsid w:val="00B76B20"/>
    <w:rsid w:val="00BD006D"/>
    <w:rsid w:val="00BD01CE"/>
    <w:rsid w:val="00C86E79"/>
    <w:rsid w:val="00C916EB"/>
    <w:rsid w:val="00CE0EC1"/>
    <w:rsid w:val="00D276D3"/>
    <w:rsid w:val="00D33204"/>
    <w:rsid w:val="00D85D19"/>
    <w:rsid w:val="00E23FE2"/>
    <w:rsid w:val="00E43CC7"/>
    <w:rsid w:val="00E9020C"/>
    <w:rsid w:val="00F01AA7"/>
    <w:rsid w:val="00F83F4C"/>
    <w:rsid w:val="00FE096C"/>
    <w:rsid w:val="00FE3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9C76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5" w:line="249" w:lineRule="auto"/>
      <w:ind w:left="12" w:hanging="10"/>
      <w:outlineLvl w:val="0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2" w:right="12"/>
    </w:pPr>
    <w:rPr>
      <w:rFonts w:ascii="Arial" w:eastAsia="Arial" w:hAnsi="Arial" w:cs="Arial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20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AF3EF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F3EF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3678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332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32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3204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32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3204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902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020C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0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20C"/>
    <w:rPr>
      <w:rFonts w:ascii="Tahoma" w:eastAsia="Calibri" w:hAnsi="Tahoma" w:cs="Tahoma"/>
      <w:color w:val="000000"/>
      <w:sz w:val="16"/>
      <w:szCs w:val="16"/>
    </w:rPr>
  </w:style>
  <w:style w:type="paragraph" w:customStyle="1" w:styleId="Default">
    <w:name w:val="Default"/>
    <w:rsid w:val="00A9376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5" w:line="249" w:lineRule="auto"/>
      <w:ind w:left="12" w:hanging="10"/>
      <w:outlineLvl w:val="0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2" w:right="12"/>
    </w:pPr>
    <w:rPr>
      <w:rFonts w:ascii="Arial" w:eastAsia="Arial" w:hAnsi="Arial" w:cs="Arial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20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AF3EF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F3EF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3678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332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32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3204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32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3204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902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020C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0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20C"/>
    <w:rPr>
      <w:rFonts w:ascii="Tahoma" w:eastAsia="Calibri" w:hAnsi="Tahoma" w:cs="Tahoma"/>
      <w:color w:val="000000"/>
      <w:sz w:val="16"/>
      <w:szCs w:val="16"/>
    </w:rPr>
  </w:style>
  <w:style w:type="paragraph" w:customStyle="1" w:styleId="Default">
    <w:name w:val="Default"/>
    <w:rsid w:val="00A9376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1394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„Ucz się razem z nami”</vt:lpstr>
    </vt:vector>
  </TitlesOfParts>
  <Company/>
  <LinksUpToDate>false</LinksUpToDate>
  <CharactersWithSpaces>9743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„Ucz się razem z nami”</dc:title>
  <dc:subject/>
  <dc:creator>AnnaW</dc:creator>
  <cp:keywords/>
  <cp:lastModifiedBy>asier</cp:lastModifiedBy>
  <cp:revision>17</cp:revision>
  <dcterms:created xsi:type="dcterms:W3CDTF">2022-10-11T11:51:00Z</dcterms:created>
  <dcterms:modified xsi:type="dcterms:W3CDTF">2022-11-06T17:33:00Z</dcterms:modified>
</cp:coreProperties>
</file>